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18299eeb8414461b"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48EFF" w14:textId="77777777" w:rsidR="00AD1ECA" w:rsidRPr="00D002B4" w:rsidRDefault="00AD1ECA" w:rsidP="00AD1ECA">
      <w:pPr>
        <w:spacing w:line="360" w:lineRule="auto"/>
        <w:jc w:val="center"/>
        <w:rPr>
          <w:rFonts w:ascii="Calibri" w:hAnsi="Calibri"/>
          <w:sz w:val="32"/>
          <w:szCs w:val="32"/>
        </w:rPr>
      </w:pPr>
      <w:bookmarkStart w:id="0" w:name="_Hlk411233418"/>
      <w:r w:rsidRPr="00D002B4">
        <w:rPr>
          <w:rFonts w:ascii="Calibri" w:hAnsi="Calibri"/>
          <w:sz w:val="32"/>
          <w:szCs w:val="32"/>
        </w:rPr>
        <w:t>Literacy</w:t>
      </w:r>
      <w:r>
        <w:rPr>
          <w:rFonts w:ascii="Calibri" w:hAnsi="Calibri"/>
          <w:sz w:val="32"/>
          <w:szCs w:val="32"/>
        </w:rPr>
        <w:t xml:space="preserve"> by Selected Characteristics, Australia, 2012</w:t>
      </w:r>
    </w:p>
    <w:bookmarkEnd w:id="0"/>
    <w:p w14:paraId="50CED53B" w14:textId="77777777" w:rsidR="00AD1ECA" w:rsidRPr="00DE3575" w:rsidRDefault="00951892" w:rsidP="00AD1ECA">
      <w:pPr>
        <w:jc w:val="both"/>
        <w:rPr>
          <w:rFonts w:ascii="Calibri" w:hAnsi="Calibri"/>
          <w:sz w:val="18"/>
          <w:szCs w:val="18"/>
        </w:rPr>
      </w:pPr>
      <w:r w:rsidRPr="00DE3575">
        <w:rPr>
          <w:rFonts w:ascii="Calibri" w:hAnsi="Calibri"/>
          <w:sz w:val="18"/>
          <w:szCs w:val="18"/>
        </w:rPr>
        <w:t>From the 2011–12 Programme for the International Assessment of Adult Competencies, Au</w:t>
      </w:r>
      <w:r>
        <w:rPr>
          <w:rFonts w:ascii="Calibri" w:hAnsi="Calibri"/>
          <w:sz w:val="18"/>
          <w:szCs w:val="18"/>
        </w:rPr>
        <w:t xml:space="preserve">stralian Bureau of Statistics, </w:t>
      </w:r>
      <w:r w:rsidRPr="00DE3575">
        <w:rPr>
          <w:rFonts w:ascii="Calibri" w:hAnsi="Calibri"/>
          <w:sz w:val="18"/>
          <w:szCs w:val="18"/>
        </w:rPr>
        <w:t>2013</w:t>
      </w:r>
    </w:p>
    <w:p w14:paraId="29D7175F" w14:textId="77777777" w:rsidR="004E0E6D" w:rsidRDefault="004E0E6D" w:rsidP="00425300">
      <w:pPr>
        <w:spacing w:line="360" w:lineRule="auto"/>
        <w:jc w:val="both"/>
        <w:rPr>
          <w:rFonts w:ascii="Calibri" w:hAnsi="Calibri"/>
        </w:rPr>
      </w:pPr>
    </w:p>
    <w:p w14:paraId="3BA8504F" w14:textId="77777777" w:rsidR="00AD1ECA" w:rsidRPr="00425300" w:rsidRDefault="00AD1ECA" w:rsidP="00425300">
      <w:pPr>
        <w:spacing w:line="360" w:lineRule="auto"/>
        <w:jc w:val="both"/>
        <w:rPr>
          <w:rFonts w:ascii="Calibri" w:hAnsi="Calibri"/>
        </w:rPr>
      </w:pPr>
    </w:p>
    <w:p w14:paraId="431DB466" w14:textId="77777777" w:rsidR="00425300" w:rsidRPr="00425300" w:rsidRDefault="003C74A6" w:rsidP="00425300">
      <w:pPr>
        <w:spacing w:line="360" w:lineRule="auto"/>
        <w:jc w:val="both"/>
        <w:rPr>
          <w:rFonts w:ascii="Calibri" w:hAnsi="Calibri"/>
        </w:rPr>
      </w:pPr>
      <w:r w:rsidRPr="00425300">
        <w:rPr>
          <w:rFonts w:ascii="Calibri" w:hAnsi="Calibri"/>
        </w:rPr>
        <w:t>The information presented here</w:t>
      </w:r>
      <w:r w:rsidR="00834D75">
        <w:rPr>
          <w:rFonts w:ascii="Calibri" w:hAnsi="Calibri"/>
        </w:rPr>
        <w:t xml:space="preserve"> is largely drawn from</w:t>
      </w:r>
      <w:r w:rsidRPr="00425300">
        <w:rPr>
          <w:rFonts w:ascii="Calibri" w:hAnsi="Calibri"/>
        </w:rPr>
        <w:t xml:space="preserve"> </w:t>
      </w:r>
      <w:r w:rsidR="00134B2D">
        <w:rPr>
          <w:rFonts w:ascii="Calibri" w:hAnsi="Calibri"/>
        </w:rPr>
        <w:t>the findings of the 2011–1</w:t>
      </w:r>
      <w:r w:rsidR="004E0E6D">
        <w:rPr>
          <w:rFonts w:ascii="Calibri" w:hAnsi="Calibri"/>
        </w:rPr>
        <w:t xml:space="preserve">2 </w:t>
      </w:r>
      <w:r w:rsidRPr="00425300">
        <w:rPr>
          <w:rFonts w:ascii="Calibri" w:hAnsi="Calibri"/>
        </w:rPr>
        <w:t>Programme for the International Assessment of Adult Competencies</w:t>
      </w:r>
      <w:r w:rsidR="00425300" w:rsidRPr="00425300">
        <w:rPr>
          <w:rFonts w:ascii="Calibri" w:hAnsi="Calibri"/>
        </w:rPr>
        <w:t xml:space="preserve">, which measured levels of literacy and numeracy </w:t>
      </w:r>
      <w:r w:rsidR="004E0E6D">
        <w:rPr>
          <w:rFonts w:ascii="Calibri" w:hAnsi="Calibri"/>
        </w:rPr>
        <w:t xml:space="preserve">among </w:t>
      </w:r>
      <w:r w:rsidR="004E0E6D" w:rsidRPr="00425300">
        <w:rPr>
          <w:rFonts w:ascii="Calibri" w:hAnsi="Calibri"/>
        </w:rPr>
        <w:t>a random sample of Australians</w:t>
      </w:r>
      <w:r w:rsidR="004E0E6D">
        <w:rPr>
          <w:rFonts w:ascii="Calibri" w:hAnsi="Calibri"/>
        </w:rPr>
        <w:t>,</w:t>
      </w:r>
      <w:r w:rsidR="004E0E6D" w:rsidRPr="00425300">
        <w:rPr>
          <w:rFonts w:ascii="Calibri" w:hAnsi="Calibri"/>
        </w:rPr>
        <w:t xml:space="preserve"> </w:t>
      </w:r>
      <w:r w:rsidR="00425300" w:rsidRPr="00425300">
        <w:rPr>
          <w:rFonts w:ascii="Calibri" w:hAnsi="Calibri"/>
        </w:rPr>
        <w:t xml:space="preserve">through face-to-face interviews. </w:t>
      </w:r>
      <w:r w:rsidR="004E0E6D">
        <w:rPr>
          <w:rFonts w:ascii="Calibri" w:hAnsi="Calibri"/>
        </w:rPr>
        <w:t>The survey assessed</w:t>
      </w:r>
      <w:r w:rsidR="00425300" w:rsidRPr="00425300">
        <w:rPr>
          <w:rFonts w:ascii="Calibri" w:hAnsi="Calibri"/>
        </w:rPr>
        <w:t xml:space="preserve"> respondents</w:t>
      </w:r>
      <w:r w:rsidR="004E0E6D">
        <w:rPr>
          <w:rFonts w:ascii="Calibri" w:hAnsi="Calibri"/>
        </w:rPr>
        <w:t>’</w:t>
      </w:r>
      <w:r w:rsidR="00425300" w:rsidRPr="00425300">
        <w:rPr>
          <w:rFonts w:ascii="Calibri" w:hAnsi="Calibri"/>
        </w:rPr>
        <w:t xml:space="preserve"> ability to understand written English as well as </w:t>
      </w:r>
      <w:r w:rsidR="004E0E6D">
        <w:rPr>
          <w:rFonts w:ascii="Calibri" w:hAnsi="Calibri"/>
        </w:rPr>
        <w:t xml:space="preserve">their proficiency in </w:t>
      </w:r>
      <w:r w:rsidR="00425300" w:rsidRPr="00425300">
        <w:rPr>
          <w:rFonts w:ascii="Calibri" w:hAnsi="Calibri"/>
        </w:rPr>
        <w:t>numerical calculations.</w:t>
      </w:r>
    </w:p>
    <w:p w14:paraId="659E94C1" w14:textId="77777777" w:rsidR="00D002B4" w:rsidRPr="00425300" w:rsidRDefault="00425300" w:rsidP="00425300">
      <w:pPr>
        <w:spacing w:line="360" w:lineRule="auto"/>
        <w:jc w:val="both"/>
        <w:rPr>
          <w:rFonts w:ascii="Calibri" w:hAnsi="Calibri"/>
        </w:rPr>
      </w:pPr>
      <w:r w:rsidRPr="00425300">
        <w:rPr>
          <w:rFonts w:ascii="Calibri" w:hAnsi="Calibri"/>
        </w:rPr>
        <w:t xml:space="preserve">English literacy levels were grouped into six ranges, from ‘below Level 1’ to </w:t>
      </w:r>
      <w:r w:rsidR="00134B2D">
        <w:rPr>
          <w:rFonts w:ascii="Calibri" w:hAnsi="Calibri"/>
        </w:rPr>
        <w:t>‘</w:t>
      </w:r>
      <w:r w:rsidRPr="00425300">
        <w:rPr>
          <w:rFonts w:ascii="Calibri" w:hAnsi="Calibri"/>
        </w:rPr>
        <w:t>Level 5</w:t>
      </w:r>
      <w:r w:rsidR="00134B2D">
        <w:rPr>
          <w:rFonts w:ascii="Calibri" w:hAnsi="Calibri"/>
        </w:rPr>
        <w:t>’</w:t>
      </w:r>
      <w:r w:rsidRPr="00425300">
        <w:rPr>
          <w:rFonts w:ascii="Calibri" w:hAnsi="Calibri"/>
        </w:rPr>
        <w:t xml:space="preserve"> - the highest level.</w:t>
      </w:r>
      <w:r>
        <w:rPr>
          <w:rFonts w:ascii="Calibri" w:hAnsi="Calibri"/>
        </w:rPr>
        <w:t xml:space="preserve"> Throughout this note, persons at</w:t>
      </w:r>
      <w:r w:rsidR="00CE65D7">
        <w:rPr>
          <w:rFonts w:ascii="Calibri" w:hAnsi="Calibri"/>
        </w:rPr>
        <w:t>,</w:t>
      </w:r>
      <w:r>
        <w:rPr>
          <w:rFonts w:ascii="Calibri" w:hAnsi="Calibri"/>
        </w:rPr>
        <w:t xml:space="preserve"> or below</w:t>
      </w:r>
      <w:r w:rsidR="00CE65D7">
        <w:rPr>
          <w:rFonts w:ascii="Calibri" w:hAnsi="Calibri"/>
        </w:rPr>
        <w:t>,</w:t>
      </w:r>
      <w:r>
        <w:rPr>
          <w:rFonts w:ascii="Calibri" w:hAnsi="Calibri"/>
        </w:rPr>
        <w:t xml:space="preserve"> Level 1 literacy are described as having ‘limited </w:t>
      </w:r>
      <w:r w:rsidR="00134B2D">
        <w:rPr>
          <w:rFonts w:ascii="Calibri" w:hAnsi="Calibri"/>
        </w:rPr>
        <w:t xml:space="preserve">English </w:t>
      </w:r>
      <w:r>
        <w:rPr>
          <w:rFonts w:ascii="Calibri" w:hAnsi="Calibri"/>
        </w:rPr>
        <w:t>literacy’.</w:t>
      </w:r>
    </w:p>
    <w:p w14:paraId="0FBD98F1" w14:textId="77777777" w:rsidR="002E624B" w:rsidRDefault="002E624B" w:rsidP="002E624B">
      <w:pPr>
        <w:spacing w:line="360" w:lineRule="auto"/>
        <w:jc w:val="both"/>
        <w:rPr>
          <w:rFonts w:ascii="Calibri" w:hAnsi="Calibri"/>
        </w:rPr>
      </w:pPr>
    </w:p>
    <w:p w14:paraId="77A10D72" w14:textId="77777777" w:rsidR="00D002B4" w:rsidRPr="004E0E6D" w:rsidRDefault="00425300" w:rsidP="004E0E6D">
      <w:pPr>
        <w:pBdr>
          <w:top w:val="single" w:sz="4" w:space="1" w:color="0F243E"/>
        </w:pBdr>
        <w:spacing w:line="360" w:lineRule="auto"/>
        <w:ind w:right="2834"/>
        <w:jc w:val="both"/>
        <w:rPr>
          <w:rFonts w:ascii="Calibri" w:hAnsi="Calibri"/>
          <w:b/>
          <w:color w:val="17365D"/>
        </w:rPr>
      </w:pPr>
      <w:r w:rsidRPr="004E0E6D">
        <w:rPr>
          <w:rFonts w:ascii="Calibri" w:hAnsi="Calibri"/>
          <w:b/>
          <w:color w:val="17365D"/>
        </w:rPr>
        <w:t>Literacy: Age and Gender</w:t>
      </w:r>
    </w:p>
    <w:p w14:paraId="788DBB95" w14:textId="77777777" w:rsidR="00425300" w:rsidRDefault="00425300" w:rsidP="00425300">
      <w:pPr>
        <w:spacing w:line="360" w:lineRule="auto"/>
        <w:jc w:val="both"/>
        <w:rPr>
          <w:rFonts w:ascii="Calibri" w:hAnsi="Calibri"/>
        </w:rPr>
      </w:pPr>
      <w:r>
        <w:rPr>
          <w:rFonts w:ascii="Calibri" w:hAnsi="Calibri"/>
        </w:rPr>
        <w:t xml:space="preserve">Overall, approximately </w:t>
      </w:r>
      <w:r w:rsidR="006F0D43">
        <w:rPr>
          <w:rFonts w:ascii="Calibri" w:hAnsi="Calibri"/>
        </w:rPr>
        <w:t xml:space="preserve">14 per cent, or </w:t>
      </w:r>
      <w:r>
        <w:rPr>
          <w:rFonts w:ascii="Calibri" w:hAnsi="Calibri"/>
        </w:rPr>
        <w:t>one in seven</w:t>
      </w:r>
      <w:r w:rsidR="006F0D43">
        <w:rPr>
          <w:rFonts w:ascii="Calibri" w:hAnsi="Calibri"/>
        </w:rPr>
        <w:t>,</w:t>
      </w:r>
      <w:r>
        <w:rPr>
          <w:rFonts w:ascii="Calibri" w:hAnsi="Calibri"/>
        </w:rPr>
        <w:t xml:space="preserve"> women and men across Australia</w:t>
      </w:r>
      <w:r w:rsidR="003C2828">
        <w:rPr>
          <w:rFonts w:ascii="Calibri" w:hAnsi="Calibri"/>
        </w:rPr>
        <w:t xml:space="preserve"> aged 15 to 74,</w:t>
      </w:r>
      <w:r>
        <w:rPr>
          <w:rFonts w:ascii="Calibri" w:hAnsi="Calibri"/>
        </w:rPr>
        <w:t xml:space="preserve"> ha</w:t>
      </w:r>
      <w:r w:rsidR="00CE65D7">
        <w:rPr>
          <w:rFonts w:ascii="Calibri" w:hAnsi="Calibri"/>
        </w:rPr>
        <w:t>d</w:t>
      </w:r>
      <w:r>
        <w:rPr>
          <w:rFonts w:ascii="Calibri" w:hAnsi="Calibri"/>
        </w:rPr>
        <w:t xml:space="preserve"> limited literacy. Among younger age groups a higher proportion of males than females ha</w:t>
      </w:r>
      <w:r w:rsidR="00CE65D7">
        <w:rPr>
          <w:rFonts w:ascii="Calibri" w:hAnsi="Calibri"/>
        </w:rPr>
        <w:t>d</w:t>
      </w:r>
      <w:r>
        <w:rPr>
          <w:rFonts w:ascii="Calibri" w:hAnsi="Calibri"/>
        </w:rPr>
        <w:t xml:space="preserve"> lim</w:t>
      </w:r>
      <w:r w:rsidR="00134B2D">
        <w:rPr>
          <w:rFonts w:ascii="Calibri" w:hAnsi="Calibri"/>
        </w:rPr>
        <w:t>i</w:t>
      </w:r>
      <w:r>
        <w:rPr>
          <w:rFonts w:ascii="Calibri" w:hAnsi="Calibri"/>
        </w:rPr>
        <w:t xml:space="preserve">ted literacy, whereas among older Australians, limited English literacy </w:t>
      </w:r>
      <w:r w:rsidR="00CE65D7">
        <w:rPr>
          <w:rFonts w:ascii="Calibri" w:hAnsi="Calibri"/>
        </w:rPr>
        <w:t>was</w:t>
      </w:r>
      <w:r>
        <w:rPr>
          <w:rFonts w:ascii="Calibri" w:hAnsi="Calibri"/>
        </w:rPr>
        <w:t xml:space="preserve"> more prevalent among women.</w:t>
      </w:r>
    </w:p>
    <w:p w14:paraId="706235FE" w14:textId="77777777" w:rsidR="00134B2D" w:rsidRDefault="00134B2D" w:rsidP="00425300">
      <w:pPr>
        <w:spacing w:line="360" w:lineRule="auto"/>
        <w:jc w:val="both"/>
        <w:rPr>
          <w:rFonts w:ascii="Calibri" w:hAnsi="Calibri"/>
        </w:rPr>
      </w:pPr>
      <w:r>
        <w:rPr>
          <w:rFonts w:ascii="Calibri" w:hAnsi="Calibri"/>
        </w:rPr>
        <w:t>For both women and men, the proportion of people with limited English literacy decline</w:t>
      </w:r>
      <w:r w:rsidR="00CE65D7">
        <w:rPr>
          <w:rFonts w:ascii="Calibri" w:hAnsi="Calibri"/>
        </w:rPr>
        <w:t>d</w:t>
      </w:r>
      <w:r>
        <w:rPr>
          <w:rFonts w:ascii="Calibri" w:hAnsi="Calibri"/>
        </w:rPr>
        <w:t xml:space="preserve"> slightly from teenage prevalence of 11.6%</w:t>
      </w:r>
      <w:r w:rsidR="006F0D43">
        <w:rPr>
          <w:rFonts w:ascii="Calibri" w:hAnsi="Calibri"/>
        </w:rPr>
        <w:t xml:space="preserve"> (13.9% among males and 9% among females)</w:t>
      </w:r>
      <w:r w:rsidR="00CE65D7">
        <w:rPr>
          <w:rFonts w:ascii="Calibri" w:hAnsi="Calibri"/>
        </w:rPr>
        <w:t>,</w:t>
      </w:r>
      <w:r>
        <w:rPr>
          <w:rFonts w:ascii="Calibri" w:hAnsi="Calibri"/>
        </w:rPr>
        <w:t xml:space="preserve"> to 8.8% among those aged 35 to 39 years, before rising with increasing age to a peak of 30% among people aged 65 to 74 (accompanying diagram).</w:t>
      </w:r>
    </w:p>
    <w:p w14:paraId="02BE3CA6" w14:textId="77777777" w:rsidR="004E0E6D" w:rsidRDefault="004E0E6D" w:rsidP="00425300">
      <w:pPr>
        <w:spacing w:line="360" w:lineRule="auto"/>
        <w:jc w:val="both"/>
        <w:rPr>
          <w:rFonts w:ascii="Calibri" w:hAnsi="Calibri"/>
        </w:rPr>
      </w:pPr>
    </w:p>
    <w:p w14:paraId="57296B05" w14:textId="77777777" w:rsidR="00134B2D" w:rsidRPr="00134B2D" w:rsidRDefault="00134B2D" w:rsidP="00134B2D">
      <w:pPr>
        <w:jc w:val="both"/>
        <w:rPr>
          <w:rFonts w:ascii="Calibri" w:hAnsi="Calibri"/>
          <w:color w:val="404040"/>
          <w:sz w:val="20"/>
          <w:szCs w:val="20"/>
        </w:rPr>
      </w:pPr>
      <w:r w:rsidRPr="00134B2D">
        <w:rPr>
          <w:rFonts w:ascii="Calibri" w:hAnsi="Calibri"/>
          <w:color w:val="404040"/>
          <w:sz w:val="20"/>
          <w:szCs w:val="20"/>
        </w:rPr>
        <w:t xml:space="preserve">Per cent of Persons </w:t>
      </w:r>
      <w:r w:rsidR="00053790">
        <w:rPr>
          <w:rFonts w:ascii="Calibri" w:hAnsi="Calibri"/>
          <w:color w:val="404040"/>
          <w:sz w:val="20"/>
          <w:szCs w:val="20"/>
        </w:rPr>
        <w:t>with Limited English Literacy</w:t>
      </w:r>
      <w:r w:rsidRPr="00134B2D">
        <w:rPr>
          <w:rFonts w:ascii="Calibri" w:hAnsi="Calibri"/>
          <w:color w:val="404040"/>
          <w:sz w:val="20"/>
          <w:szCs w:val="20"/>
        </w:rPr>
        <w:t xml:space="preserve">, by Age and Sex: </w:t>
      </w:r>
      <w:r w:rsidR="003C2828">
        <w:rPr>
          <w:rFonts w:ascii="Calibri" w:hAnsi="Calibri"/>
          <w:color w:val="404040"/>
          <w:sz w:val="20"/>
          <w:szCs w:val="20"/>
        </w:rPr>
        <w:t xml:space="preserve">Persons aged 15-74 years, </w:t>
      </w:r>
      <w:r w:rsidRPr="00134B2D">
        <w:rPr>
          <w:rFonts w:ascii="Calibri" w:hAnsi="Calibri"/>
          <w:color w:val="404040"/>
          <w:sz w:val="20"/>
          <w:szCs w:val="20"/>
        </w:rPr>
        <w:t>Australia, 2012</w:t>
      </w:r>
    </w:p>
    <w:p w14:paraId="6AFB79EE" w14:textId="77777777" w:rsidR="002E624B" w:rsidRPr="008C4528" w:rsidRDefault="002F7D63" w:rsidP="008C4528">
      <w:pPr>
        <w:spacing w:line="360" w:lineRule="auto"/>
        <w:jc w:val="center"/>
      </w:pPr>
      <w:r>
        <w:rPr>
          <w:noProof/>
          <w:lang w:eastAsia="en-AU"/>
        </w:rPr>
        <w:drawing>
          <wp:inline distT="0" distB="0" distL="0" distR="0" wp14:anchorId="0BFFF782" wp14:editId="75C6EF65">
            <wp:extent cx="4343400" cy="31292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47385" cy="3132093"/>
                    </a:xfrm>
                    <a:prstGeom prst="rect">
                      <a:avLst/>
                    </a:prstGeom>
                    <a:noFill/>
                    <a:ln>
                      <a:noFill/>
                    </a:ln>
                  </pic:spPr>
                </pic:pic>
              </a:graphicData>
            </a:graphic>
          </wp:inline>
        </w:drawing>
      </w:r>
    </w:p>
    <w:p w14:paraId="4C818B82" w14:textId="77777777" w:rsidR="002E624B" w:rsidRDefault="002E624B">
      <w:pPr>
        <w:rPr>
          <w:rFonts w:ascii="Calibri" w:hAnsi="Calibri"/>
        </w:rPr>
      </w:pPr>
      <w:r>
        <w:rPr>
          <w:rFonts w:ascii="Calibri" w:hAnsi="Calibri"/>
        </w:rPr>
        <w:br w:type="page"/>
      </w:r>
    </w:p>
    <w:p w14:paraId="20D1D15F" w14:textId="77777777" w:rsidR="008C4528" w:rsidRPr="00834D75" w:rsidRDefault="008C4528" w:rsidP="008C4528">
      <w:pPr>
        <w:pBdr>
          <w:top w:val="single" w:sz="4" w:space="1" w:color="0F243E"/>
        </w:pBdr>
        <w:spacing w:line="360" w:lineRule="auto"/>
        <w:ind w:right="2834"/>
        <w:jc w:val="both"/>
        <w:rPr>
          <w:rFonts w:ascii="Calibri" w:hAnsi="Calibri"/>
          <w:b/>
          <w:color w:val="17365D"/>
        </w:rPr>
      </w:pPr>
      <w:r>
        <w:rPr>
          <w:rFonts w:ascii="Calibri" w:hAnsi="Calibri"/>
          <w:b/>
          <w:color w:val="17365D"/>
        </w:rPr>
        <w:lastRenderedPageBreak/>
        <w:t>Trends in Literacy Levels: 1996 to 2011</w:t>
      </w:r>
    </w:p>
    <w:p w14:paraId="2C59E681" w14:textId="77777777" w:rsidR="003C2828" w:rsidRDefault="008C4528" w:rsidP="008C4528">
      <w:pPr>
        <w:spacing w:line="360" w:lineRule="auto"/>
        <w:jc w:val="both"/>
        <w:rPr>
          <w:rFonts w:ascii="Calibri" w:hAnsi="Calibri"/>
        </w:rPr>
      </w:pPr>
      <w:r w:rsidRPr="0007061F">
        <w:rPr>
          <w:rFonts w:ascii="Calibri" w:hAnsi="Calibri"/>
        </w:rPr>
        <w:t>In the fifteen years from 1996 to 2011, the propo</w:t>
      </w:r>
      <w:r w:rsidR="003C2828">
        <w:rPr>
          <w:rFonts w:ascii="Calibri" w:hAnsi="Calibri"/>
        </w:rPr>
        <w:t xml:space="preserve">rtion of Australians aged 15 to 74 </w:t>
      </w:r>
      <w:r w:rsidRPr="0007061F">
        <w:rPr>
          <w:rFonts w:ascii="Calibri" w:hAnsi="Calibri"/>
        </w:rPr>
        <w:t>with limited literacy has declined from approximately 1</w:t>
      </w:r>
      <w:r w:rsidR="003C2828">
        <w:rPr>
          <w:rFonts w:ascii="Calibri" w:hAnsi="Calibri"/>
        </w:rPr>
        <w:t>8.7</w:t>
      </w:r>
      <w:r w:rsidRPr="0007061F">
        <w:rPr>
          <w:rFonts w:ascii="Calibri" w:hAnsi="Calibri"/>
        </w:rPr>
        <w:t>% to 14</w:t>
      </w:r>
      <w:r w:rsidR="003C2828">
        <w:rPr>
          <w:rFonts w:ascii="Calibri" w:hAnsi="Calibri"/>
        </w:rPr>
        <w:t>.3</w:t>
      </w:r>
      <w:r w:rsidRPr="0007061F">
        <w:rPr>
          <w:rFonts w:ascii="Calibri" w:hAnsi="Calibri"/>
        </w:rPr>
        <w:t>%. This decline is most marked among older Australians, with the proportion of people aged 65-74 with limited literacy falling from 56% to 29%.</w:t>
      </w:r>
      <w:r>
        <w:rPr>
          <w:rFonts w:ascii="Calibri" w:hAnsi="Calibri"/>
        </w:rPr>
        <w:t xml:space="preserve"> </w:t>
      </w:r>
      <w:r w:rsidR="00951892" w:rsidRPr="0007061F">
        <w:rPr>
          <w:rFonts w:ascii="Calibri" w:hAnsi="Calibri"/>
        </w:rPr>
        <w:t xml:space="preserve">During this period, the proportion of </w:t>
      </w:r>
      <w:r w:rsidR="00951892">
        <w:rPr>
          <w:rFonts w:ascii="Calibri" w:hAnsi="Calibri"/>
        </w:rPr>
        <w:t>those</w:t>
      </w:r>
      <w:r w:rsidR="00951892" w:rsidRPr="0007061F">
        <w:rPr>
          <w:rFonts w:ascii="Calibri" w:hAnsi="Calibri"/>
        </w:rPr>
        <w:t xml:space="preserve"> whose first language was not English, who had limited </w:t>
      </w:r>
      <w:r w:rsidR="00951892">
        <w:rPr>
          <w:rFonts w:ascii="Calibri" w:hAnsi="Calibri"/>
        </w:rPr>
        <w:t>English literacy, almost halved</w:t>
      </w:r>
      <w:r w:rsidR="00951892" w:rsidRPr="0007061F">
        <w:rPr>
          <w:rFonts w:ascii="Calibri" w:hAnsi="Calibri"/>
        </w:rPr>
        <w:t xml:space="preserve"> from 41% in 1996 to 23% by 2011. </w:t>
      </w:r>
    </w:p>
    <w:p w14:paraId="0FECB729" w14:textId="77777777" w:rsidR="008C4528" w:rsidRDefault="008C4528" w:rsidP="008C4528">
      <w:pPr>
        <w:spacing w:line="360" w:lineRule="auto"/>
        <w:jc w:val="both"/>
        <w:rPr>
          <w:rFonts w:ascii="Calibri" w:hAnsi="Calibri"/>
        </w:rPr>
      </w:pPr>
      <w:r w:rsidRPr="0007061F">
        <w:rPr>
          <w:rFonts w:ascii="Calibri" w:hAnsi="Calibri"/>
        </w:rPr>
        <w:t>In this time, the rate of limited literacy among people whose first language was English barely changed, falling from 13% to 12%.</w:t>
      </w:r>
    </w:p>
    <w:p w14:paraId="073B60A3" w14:textId="77777777" w:rsidR="008C4528" w:rsidRDefault="008C4528" w:rsidP="008C4528">
      <w:pPr>
        <w:spacing w:line="360" w:lineRule="auto"/>
        <w:jc w:val="both"/>
        <w:rPr>
          <w:rFonts w:ascii="Calibri" w:hAnsi="Calibri"/>
        </w:rPr>
      </w:pPr>
    </w:p>
    <w:p w14:paraId="0BF6FE4C" w14:textId="77777777" w:rsidR="008C4528" w:rsidRDefault="008C4528" w:rsidP="008C4528">
      <w:pPr>
        <w:spacing w:line="360" w:lineRule="auto"/>
        <w:jc w:val="both"/>
        <w:rPr>
          <w:rFonts w:ascii="Calibri" w:hAnsi="Calibri"/>
        </w:rPr>
      </w:pPr>
    </w:p>
    <w:p w14:paraId="1D865C1D" w14:textId="77777777" w:rsidR="00AD1ECA" w:rsidRDefault="00AD1ECA" w:rsidP="008C4528">
      <w:pPr>
        <w:spacing w:line="360" w:lineRule="auto"/>
        <w:jc w:val="both"/>
        <w:rPr>
          <w:rFonts w:ascii="Calibri" w:hAnsi="Calibri"/>
        </w:rPr>
      </w:pPr>
    </w:p>
    <w:p w14:paraId="46888858" w14:textId="77777777" w:rsidR="008C4528" w:rsidRPr="00134B2D" w:rsidRDefault="008C4528" w:rsidP="008C4528">
      <w:pPr>
        <w:jc w:val="both"/>
        <w:rPr>
          <w:rFonts w:ascii="Calibri" w:hAnsi="Calibri"/>
          <w:color w:val="404040"/>
          <w:sz w:val="20"/>
          <w:szCs w:val="20"/>
        </w:rPr>
      </w:pPr>
      <w:r w:rsidRPr="00134B2D">
        <w:rPr>
          <w:rFonts w:ascii="Calibri" w:hAnsi="Calibri"/>
          <w:color w:val="404040"/>
          <w:sz w:val="20"/>
          <w:szCs w:val="20"/>
        </w:rPr>
        <w:t xml:space="preserve">Per cent of Persons </w:t>
      </w:r>
      <w:r w:rsidR="00053790">
        <w:rPr>
          <w:rFonts w:ascii="Calibri" w:hAnsi="Calibri"/>
          <w:color w:val="404040"/>
          <w:sz w:val="20"/>
          <w:szCs w:val="20"/>
        </w:rPr>
        <w:t>with Limited English Literacy</w:t>
      </w:r>
      <w:r>
        <w:rPr>
          <w:rFonts w:ascii="Calibri" w:hAnsi="Calibri"/>
          <w:color w:val="404040"/>
          <w:sz w:val="20"/>
          <w:szCs w:val="20"/>
        </w:rPr>
        <w:t>, by Age and Sex: Australia, 1996 and 2012</w:t>
      </w:r>
    </w:p>
    <w:p w14:paraId="7EE38091" w14:textId="77777777" w:rsidR="008C4528" w:rsidRDefault="008C4528" w:rsidP="008C4528">
      <w:pPr>
        <w:spacing w:line="360" w:lineRule="auto"/>
        <w:jc w:val="both"/>
        <w:rPr>
          <w:rFonts w:ascii="Calibri" w:hAnsi="Calibri"/>
        </w:rPr>
      </w:pPr>
    </w:p>
    <w:p w14:paraId="78C82A64" w14:textId="77777777" w:rsidR="008C4528" w:rsidRDefault="008C4528" w:rsidP="008C4528">
      <w:pPr>
        <w:spacing w:line="360" w:lineRule="auto"/>
        <w:jc w:val="center"/>
        <w:rPr>
          <w:rFonts w:ascii="Calibri" w:hAnsi="Calibri"/>
        </w:rPr>
      </w:pPr>
      <w:r>
        <w:rPr>
          <w:rFonts w:ascii="Calibri" w:hAnsi="Calibri"/>
          <w:noProof/>
          <w:lang w:eastAsia="en-AU"/>
        </w:rPr>
        <w:drawing>
          <wp:inline distT="0" distB="0" distL="0" distR="0" wp14:anchorId="6BDAE63B" wp14:editId="47BF5F0B">
            <wp:extent cx="5215255" cy="3601720"/>
            <wp:effectExtent l="0" t="0" r="4445"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l="2539" t="2975" b="19316"/>
                    <a:stretch>
                      <a:fillRect/>
                    </a:stretch>
                  </pic:blipFill>
                  <pic:spPr bwMode="auto">
                    <a:xfrm>
                      <a:off x="0" y="0"/>
                      <a:ext cx="5215255" cy="3601720"/>
                    </a:xfrm>
                    <a:prstGeom prst="rect">
                      <a:avLst/>
                    </a:prstGeom>
                    <a:noFill/>
                  </pic:spPr>
                </pic:pic>
              </a:graphicData>
            </a:graphic>
          </wp:inline>
        </w:drawing>
      </w:r>
    </w:p>
    <w:p w14:paraId="320F37F0" w14:textId="77777777" w:rsidR="008C4528" w:rsidRDefault="008C4528" w:rsidP="008C4528">
      <w:pPr>
        <w:spacing w:line="360" w:lineRule="auto"/>
        <w:jc w:val="center"/>
        <w:rPr>
          <w:rFonts w:ascii="Calibri" w:hAnsi="Calibri"/>
        </w:rPr>
      </w:pPr>
    </w:p>
    <w:p w14:paraId="0CE1C48A" w14:textId="77777777" w:rsidR="008C4528" w:rsidRDefault="008C4528" w:rsidP="008C4528">
      <w:pPr>
        <w:spacing w:line="360" w:lineRule="auto"/>
        <w:jc w:val="both"/>
        <w:rPr>
          <w:rFonts w:ascii="Calibri" w:hAnsi="Calibri"/>
        </w:rPr>
      </w:pPr>
    </w:p>
    <w:p w14:paraId="4C3D8726" w14:textId="77777777" w:rsidR="008C4528" w:rsidRDefault="008C4528">
      <w:pPr>
        <w:rPr>
          <w:rFonts w:ascii="Calibri" w:hAnsi="Calibri"/>
          <w:b/>
          <w:color w:val="17365D"/>
        </w:rPr>
      </w:pPr>
      <w:r>
        <w:rPr>
          <w:rFonts w:ascii="Calibri" w:hAnsi="Calibri"/>
          <w:b/>
          <w:color w:val="17365D"/>
        </w:rPr>
        <w:br w:type="page"/>
      </w:r>
    </w:p>
    <w:p w14:paraId="6F768C4D" w14:textId="77777777" w:rsidR="003C74A6" w:rsidRPr="004E0E6D" w:rsidRDefault="00134B2D" w:rsidP="004E0E6D">
      <w:pPr>
        <w:pBdr>
          <w:top w:val="single" w:sz="4" w:space="1" w:color="0F243E"/>
        </w:pBdr>
        <w:spacing w:line="360" w:lineRule="auto"/>
        <w:ind w:right="2834"/>
        <w:jc w:val="both"/>
        <w:rPr>
          <w:rFonts w:ascii="Calibri" w:hAnsi="Calibri"/>
          <w:b/>
          <w:color w:val="17365D"/>
        </w:rPr>
      </w:pPr>
      <w:r w:rsidRPr="004E0E6D">
        <w:rPr>
          <w:rFonts w:ascii="Calibri" w:hAnsi="Calibri"/>
          <w:b/>
          <w:color w:val="17365D"/>
        </w:rPr>
        <w:lastRenderedPageBreak/>
        <w:t xml:space="preserve">Literacy: </w:t>
      </w:r>
      <w:r w:rsidR="004E0E6D" w:rsidRPr="004E0E6D">
        <w:rPr>
          <w:rFonts w:ascii="Calibri" w:hAnsi="Calibri"/>
          <w:b/>
          <w:color w:val="17365D"/>
        </w:rPr>
        <w:t>English as a First or Second Language</w:t>
      </w:r>
    </w:p>
    <w:p w14:paraId="31F15B76" w14:textId="77777777" w:rsidR="003C2828" w:rsidRDefault="00134B2D" w:rsidP="00425300">
      <w:pPr>
        <w:spacing w:line="360" w:lineRule="auto"/>
        <w:jc w:val="both"/>
        <w:rPr>
          <w:rFonts w:ascii="Calibri" w:hAnsi="Calibri"/>
        </w:rPr>
      </w:pPr>
      <w:r>
        <w:rPr>
          <w:rFonts w:ascii="Calibri" w:hAnsi="Calibri"/>
        </w:rPr>
        <w:t xml:space="preserve">Survey respondents were asked if English was their first language, or a second language. </w:t>
      </w:r>
    </w:p>
    <w:p w14:paraId="134E9084" w14:textId="77777777" w:rsidR="003C2828" w:rsidRDefault="003C2828" w:rsidP="00425300">
      <w:pPr>
        <w:spacing w:line="360" w:lineRule="auto"/>
        <w:jc w:val="both"/>
        <w:rPr>
          <w:rFonts w:ascii="Calibri" w:hAnsi="Calibri"/>
        </w:rPr>
      </w:pPr>
      <w:r>
        <w:rPr>
          <w:rFonts w:ascii="Calibri" w:hAnsi="Calibri"/>
        </w:rPr>
        <w:t>Among people aged 15-74 years whose first language was English, 12% had very limited English literacy, compared with 25% of those whose first language was not English.</w:t>
      </w:r>
    </w:p>
    <w:p w14:paraId="480AD8D7" w14:textId="77777777" w:rsidR="00134B2D" w:rsidRPr="00425300" w:rsidRDefault="00134B2D" w:rsidP="00425300">
      <w:pPr>
        <w:spacing w:line="360" w:lineRule="auto"/>
        <w:jc w:val="both"/>
        <w:rPr>
          <w:rFonts w:ascii="Calibri" w:hAnsi="Calibri"/>
        </w:rPr>
      </w:pPr>
      <w:r>
        <w:rPr>
          <w:rFonts w:ascii="Calibri" w:hAnsi="Calibri"/>
        </w:rPr>
        <w:t xml:space="preserve">Among </w:t>
      </w:r>
      <w:r w:rsidR="00CE65D7">
        <w:rPr>
          <w:rFonts w:ascii="Calibri" w:hAnsi="Calibri"/>
        </w:rPr>
        <w:t>all</w:t>
      </w:r>
      <w:r>
        <w:rPr>
          <w:rFonts w:ascii="Calibri" w:hAnsi="Calibri"/>
        </w:rPr>
        <w:t xml:space="preserve"> age groups, limited English literacy was </w:t>
      </w:r>
      <w:r w:rsidR="00CE65D7">
        <w:rPr>
          <w:rFonts w:ascii="Calibri" w:hAnsi="Calibri"/>
        </w:rPr>
        <w:t xml:space="preserve">approximately </w:t>
      </w:r>
      <w:r>
        <w:rPr>
          <w:rFonts w:ascii="Calibri" w:hAnsi="Calibri"/>
        </w:rPr>
        <w:t>twice as prevalent among those for whom English was a second language than among people for whom English was a first language. (Diagram below)</w:t>
      </w:r>
    </w:p>
    <w:p w14:paraId="632D957B" w14:textId="77777777" w:rsidR="003C74A6" w:rsidRDefault="003C74A6" w:rsidP="00425300">
      <w:pPr>
        <w:spacing w:line="360" w:lineRule="auto"/>
        <w:jc w:val="both"/>
        <w:rPr>
          <w:rFonts w:ascii="Calibri" w:hAnsi="Calibri"/>
        </w:rPr>
      </w:pPr>
    </w:p>
    <w:p w14:paraId="66CC86AB" w14:textId="77777777" w:rsidR="00134B2D" w:rsidRPr="00134B2D" w:rsidRDefault="00134B2D" w:rsidP="00134B2D">
      <w:pPr>
        <w:jc w:val="both"/>
        <w:rPr>
          <w:rFonts w:ascii="Calibri" w:hAnsi="Calibri"/>
          <w:color w:val="404040"/>
          <w:sz w:val="20"/>
          <w:szCs w:val="20"/>
        </w:rPr>
      </w:pPr>
      <w:r w:rsidRPr="00134B2D">
        <w:rPr>
          <w:rFonts w:ascii="Calibri" w:hAnsi="Calibri"/>
          <w:color w:val="404040"/>
          <w:sz w:val="20"/>
          <w:szCs w:val="20"/>
        </w:rPr>
        <w:t xml:space="preserve">Per cent of Persons </w:t>
      </w:r>
      <w:r w:rsidR="00053790">
        <w:rPr>
          <w:rFonts w:ascii="Calibri" w:hAnsi="Calibri"/>
          <w:color w:val="404040"/>
          <w:sz w:val="20"/>
          <w:szCs w:val="20"/>
        </w:rPr>
        <w:t>with Limited English Literacy</w:t>
      </w:r>
      <w:r w:rsidRPr="00134B2D">
        <w:rPr>
          <w:rFonts w:ascii="Calibri" w:hAnsi="Calibri"/>
          <w:color w:val="404040"/>
          <w:sz w:val="20"/>
          <w:szCs w:val="20"/>
        </w:rPr>
        <w:t>, by</w:t>
      </w:r>
      <w:r>
        <w:rPr>
          <w:rFonts w:ascii="Calibri" w:hAnsi="Calibri"/>
          <w:color w:val="404040"/>
          <w:sz w:val="20"/>
          <w:szCs w:val="20"/>
        </w:rPr>
        <w:t xml:space="preserve"> Age and</w:t>
      </w:r>
      <w:r w:rsidRPr="00134B2D">
        <w:rPr>
          <w:rFonts w:ascii="Calibri" w:hAnsi="Calibri"/>
          <w:color w:val="404040"/>
          <w:sz w:val="20"/>
          <w:szCs w:val="20"/>
        </w:rPr>
        <w:t xml:space="preserve"> </w:t>
      </w:r>
      <w:r>
        <w:rPr>
          <w:rFonts w:ascii="Calibri" w:hAnsi="Calibri"/>
          <w:color w:val="404040"/>
          <w:sz w:val="20"/>
          <w:szCs w:val="20"/>
        </w:rPr>
        <w:t>whether English is a first or second language</w:t>
      </w:r>
      <w:r w:rsidRPr="00134B2D">
        <w:rPr>
          <w:rFonts w:ascii="Calibri" w:hAnsi="Calibri"/>
          <w:color w:val="404040"/>
          <w:sz w:val="20"/>
          <w:szCs w:val="20"/>
        </w:rPr>
        <w:t>: Australia, 2012</w:t>
      </w:r>
    </w:p>
    <w:p w14:paraId="4F57390B" w14:textId="77777777" w:rsidR="003C74A6" w:rsidRPr="00425300" w:rsidRDefault="002F7D63" w:rsidP="00425300">
      <w:pPr>
        <w:spacing w:line="360" w:lineRule="auto"/>
        <w:jc w:val="center"/>
        <w:rPr>
          <w:rFonts w:ascii="Calibri" w:hAnsi="Calibri"/>
        </w:rPr>
      </w:pPr>
      <w:r>
        <w:rPr>
          <w:noProof/>
          <w:lang w:eastAsia="en-AU"/>
        </w:rPr>
        <w:drawing>
          <wp:inline distT="0" distB="0" distL="0" distR="0" wp14:anchorId="13ADFB58" wp14:editId="14902A59">
            <wp:extent cx="4010025" cy="2705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l="3604" t="10614" b="11453"/>
                    <a:stretch>
                      <a:fillRect/>
                    </a:stretch>
                  </pic:blipFill>
                  <pic:spPr bwMode="auto">
                    <a:xfrm>
                      <a:off x="0" y="0"/>
                      <a:ext cx="4010025" cy="2705100"/>
                    </a:xfrm>
                    <a:prstGeom prst="rect">
                      <a:avLst/>
                    </a:prstGeom>
                    <a:noFill/>
                    <a:ln>
                      <a:noFill/>
                    </a:ln>
                  </pic:spPr>
                </pic:pic>
              </a:graphicData>
            </a:graphic>
          </wp:inline>
        </w:drawing>
      </w:r>
    </w:p>
    <w:p w14:paraId="60343C8D" w14:textId="77777777" w:rsidR="002A2E7D" w:rsidRPr="00134B2D" w:rsidRDefault="002A2E7D" w:rsidP="002A2E7D">
      <w:pPr>
        <w:jc w:val="both"/>
        <w:rPr>
          <w:rFonts w:ascii="Calibri" w:hAnsi="Calibri"/>
          <w:color w:val="404040"/>
          <w:sz w:val="20"/>
          <w:szCs w:val="20"/>
        </w:rPr>
      </w:pPr>
    </w:p>
    <w:p w14:paraId="4F03DA18" w14:textId="77777777" w:rsidR="0007061F" w:rsidRDefault="0007061F" w:rsidP="00425300">
      <w:pPr>
        <w:spacing w:line="360" w:lineRule="auto"/>
        <w:jc w:val="both"/>
        <w:rPr>
          <w:rFonts w:ascii="Calibri" w:hAnsi="Calibri"/>
        </w:rPr>
      </w:pPr>
      <w:r w:rsidRPr="0007061F">
        <w:rPr>
          <w:rFonts w:ascii="Calibri" w:hAnsi="Calibri"/>
        </w:rPr>
        <w:t>This difference is most pronounced among older and unemployed people.</w:t>
      </w:r>
    </w:p>
    <w:p w14:paraId="61D2A1A2" w14:textId="77777777" w:rsidR="002A2E7D" w:rsidRPr="002A2E7D" w:rsidRDefault="002A2E7D" w:rsidP="002A2E7D">
      <w:pPr>
        <w:jc w:val="both"/>
        <w:rPr>
          <w:rFonts w:ascii="Calibri" w:hAnsi="Calibri"/>
          <w:color w:val="404040"/>
          <w:sz w:val="20"/>
          <w:szCs w:val="20"/>
        </w:rPr>
      </w:pPr>
      <w:r w:rsidRPr="00134B2D">
        <w:rPr>
          <w:rFonts w:ascii="Calibri" w:hAnsi="Calibri"/>
          <w:color w:val="404040"/>
          <w:sz w:val="20"/>
          <w:szCs w:val="20"/>
        </w:rPr>
        <w:t xml:space="preserve">Per cent of Persons </w:t>
      </w:r>
      <w:r w:rsidR="00053790">
        <w:rPr>
          <w:rFonts w:ascii="Calibri" w:hAnsi="Calibri"/>
          <w:color w:val="404040"/>
          <w:sz w:val="20"/>
          <w:szCs w:val="20"/>
        </w:rPr>
        <w:t>with Limited English Literacy</w:t>
      </w:r>
      <w:r w:rsidRPr="00134B2D">
        <w:rPr>
          <w:rFonts w:ascii="Calibri" w:hAnsi="Calibri"/>
          <w:color w:val="404040"/>
          <w:sz w:val="20"/>
          <w:szCs w:val="20"/>
        </w:rPr>
        <w:t>, by</w:t>
      </w:r>
      <w:r>
        <w:rPr>
          <w:rFonts w:ascii="Calibri" w:hAnsi="Calibri"/>
          <w:color w:val="404040"/>
          <w:sz w:val="20"/>
          <w:szCs w:val="20"/>
        </w:rPr>
        <w:t xml:space="preserve"> Selected Characteristics</w:t>
      </w:r>
      <w:r w:rsidRPr="00134B2D">
        <w:rPr>
          <w:rFonts w:ascii="Calibri" w:hAnsi="Calibri"/>
          <w:color w:val="404040"/>
          <w:sz w:val="20"/>
          <w:szCs w:val="20"/>
        </w:rPr>
        <w:t>: Australia, 2012</w:t>
      </w:r>
    </w:p>
    <w:p w14:paraId="688FB8AA" w14:textId="77777777" w:rsidR="0007061F" w:rsidRDefault="002F7D63" w:rsidP="0007061F">
      <w:pPr>
        <w:spacing w:line="360" w:lineRule="auto"/>
        <w:jc w:val="center"/>
        <w:rPr>
          <w:rFonts w:ascii="Calibri" w:hAnsi="Calibri"/>
        </w:rPr>
      </w:pPr>
      <w:r>
        <w:rPr>
          <w:rFonts w:ascii="Calibri" w:hAnsi="Calibri"/>
          <w:noProof/>
          <w:lang w:eastAsia="en-AU"/>
        </w:rPr>
        <w:drawing>
          <wp:inline distT="0" distB="0" distL="0" distR="0" wp14:anchorId="79B567D4" wp14:editId="3F5D2581">
            <wp:extent cx="4171950" cy="3484695"/>
            <wp:effectExtent l="0" t="0" r="0" b="190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l="2304" t="1111" r="5476" b="15009"/>
                    <a:stretch>
                      <a:fillRect/>
                    </a:stretch>
                  </pic:blipFill>
                  <pic:spPr bwMode="auto">
                    <a:xfrm>
                      <a:off x="0" y="0"/>
                      <a:ext cx="4175805" cy="3487915"/>
                    </a:xfrm>
                    <a:prstGeom prst="rect">
                      <a:avLst/>
                    </a:prstGeom>
                    <a:noFill/>
                  </pic:spPr>
                </pic:pic>
              </a:graphicData>
            </a:graphic>
          </wp:inline>
        </w:drawing>
      </w:r>
    </w:p>
    <w:p w14:paraId="6CAC326A" w14:textId="77777777" w:rsidR="002E624B" w:rsidRDefault="002E624B">
      <w:pPr>
        <w:rPr>
          <w:rFonts w:ascii="Calibri" w:hAnsi="Calibri"/>
        </w:rPr>
      </w:pPr>
      <w:r>
        <w:rPr>
          <w:rFonts w:ascii="Calibri" w:hAnsi="Calibri"/>
        </w:rPr>
        <w:br w:type="page"/>
      </w:r>
    </w:p>
    <w:p w14:paraId="2516F27D" w14:textId="77777777" w:rsidR="003C74A6" w:rsidRPr="004E0E6D" w:rsidRDefault="004E0E6D" w:rsidP="004E0E6D">
      <w:pPr>
        <w:pBdr>
          <w:top w:val="single" w:sz="4" w:space="1" w:color="0F243E"/>
        </w:pBdr>
        <w:spacing w:line="360" w:lineRule="auto"/>
        <w:ind w:right="2834"/>
        <w:jc w:val="both"/>
        <w:rPr>
          <w:rFonts w:ascii="Calibri" w:hAnsi="Calibri"/>
          <w:b/>
          <w:color w:val="17365D"/>
        </w:rPr>
      </w:pPr>
      <w:r w:rsidRPr="004E0E6D">
        <w:rPr>
          <w:rFonts w:ascii="Calibri" w:hAnsi="Calibri"/>
          <w:b/>
          <w:color w:val="17365D"/>
        </w:rPr>
        <w:t>Literacy: Labour Force Status</w:t>
      </w:r>
    </w:p>
    <w:p w14:paraId="7C616120" w14:textId="77777777" w:rsidR="004E0E6D" w:rsidRDefault="004E0E6D" w:rsidP="00425300">
      <w:pPr>
        <w:spacing w:line="360" w:lineRule="auto"/>
        <w:jc w:val="both"/>
        <w:rPr>
          <w:rFonts w:ascii="Calibri" w:hAnsi="Calibri"/>
        </w:rPr>
      </w:pPr>
      <w:r>
        <w:rPr>
          <w:rFonts w:ascii="Calibri" w:hAnsi="Calibri"/>
        </w:rPr>
        <w:t xml:space="preserve">The proportion of people with limited English literacy was lowest among those in paid employment, higher among people who were unemployed, and </w:t>
      </w:r>
      <w:r w:rsidR="00CE65D7">
        <w:rPr>
          <w:rFonts w:ascii="Calibri" w:hAnsi="Calibri"/>
        </w:rPr>
        <w:t>highest</w:t>
      </w:r>
      <w:r>
        <w:rPr>
          <w:rFonts w:ascii="Calibri" w:hAnsi="Calibri"/>
        </w:rPr>
        <w:t xml:space="preserve"> among those not in the labour force. Among people of each labour force category, a higher proportion of males than females, had limited literacy</w:t>
      </w:r>
      <w:r w:rsidR="00053790">
        <w:rPr>
          <w:rFonts w:ascii="Calibri" w:hAnsi="Calibri"/>
        </w:rPr>
        <w:t xml:space="preserve"> in English.</w:t>
      </w:r>
    </w:p>
    <w:p w14:paraId="3ED7FFE9" w14:textId="77777777" w:rsidR="004E0E6D" w:rsidRPr="008C4528" w:rsidRDefault="004E0E6D" w:rsidP="002A2E7D">
      <w:pPr>
        <w:jc w:val="both"/>
        <w:rPr>
          <w:rFonts w:ascii="Calibri" w:hAnsi="Calibri"/>
          <w:sz w:val="10"/>
          <w:szCs w:val="10"/>
        </w:rPr>
      </w:pPr>
    </w:p>
    <w:p w14:paraId="7F816E13" w14:textId="77777777" w:rsidR="003C74A6" w:rsidRPr="00134B2D" w:rsidRDefault="00134B2D" w:rsidP="00134B2D">
      <w:pPr>
        <w:jc w:val="both"/>
        <w:rPr>
          <w:rFonts w:ascii="Calibri" w:hAnsi="Calibri"/>
          <w:color w:val="404040"/>
          <w:sz w:val="20"/>
          <w:szCs w:val="20"/>
        </w:rPr>
      </w:pPr>
      <w:r w:rsidRPr="00134B2D">
        <w:rPr>
          <w:rFonts w:ascii="Calibri" w:hAnsi="Calibri"/>
          <w:color w:val="404040"/>
          <w:sz w:val="20"/>
          <w:szCs w:val="20"/>
        </w:rPr>
        <w:t xml:space="preserve">Per cent of Persons </w:t>
      </w:r>
      <w:r w:rsidR="00053790">
        <w:rPr>
          <w:rFonts w:ascii="Calibri" w:hAnsi="Calibri"/>
          <w:color w:val="404040"/>
          <w:sz w:val="20"/>
          <w:szCs w:val="20"/>
        </w:rPr>
        <w:t>with Limited English Literacy</w:t>
      </w:r>
      <w:r w:rsidRPr="00134B2D">
        <w:rPr>
          <w:rFonts w:ascii="Calibri" w:hAnsi="Calibri"/>
          <w:color w:val="404040"/>
          <w:sz w:val="20"/>
          <w:szCs w:val="20"/>
        </w:rPr>
        <w:t xml:space="preserve">, by </w:t>
      </w:r>
      <w:r>
        <w:rPr>
          <w:rFonts w:ascii="Calibri" w:hAnsi="Calibri"/>
          <w:color w:val="404040"/>
          <w:sz w:val="20"/>
          <w:szCs w:val="20"/>
        </w:rPr>
        <w:t>Sex and Labour Force Status</w:t>
      </w:r>
      <w:r w:rsidRPr="00134B2D">
        <w:rPr>
          <w:rFonts w:ascii="Calibri" w:hAnsi="Calibri"/>
          <w:color w:val="404040"/>
          <w:sz w:val="20"/>
          <w:szCs w:val="20"/>
        </w:rPr>
        <w:t>: Australia, 2012</w:t>
      </w:r>
    </w:p>
    <w:p w14:paraId="2368C657" w14:textId="77777777" w:rsidR="003C74A6" w:rsidRPr="00425300" w:rsidRDefault="002F7D63" w:rsidP="00425300">
      <w:pPr>
        <w:spacing w:line="360" w:lineRule="auto"/>
        <w:jc w:val="center"/>
        <w:rPr>
          <w:rFonts w:ascii="Calibri" w:hAnsi="Calibri"/>
        </w:rPr>
      </w:pPr>
      <w:r>
        <w:rPr>
          <w:noProof/>
          <w:lang w:eastAsia="en-AU"/>
        </w:rPr>
        <w:drawing>
          <wp:inline distT="0" distB="0" distL="0" distR="0" wp14:anchorId="73749882" wp14:editId="5B0B9A7A">
            <wp:extent cx="3800475" cy="249240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0475" cy="2492405"/>
                    </a:xfrm>
                    <a:prstGeom prst="rect">
                      <a:avLst/>
                    </a:prstGeom>
                    <a:noFill/>
                    <a:ln>
                      <a:noFill/>
                    </a:ln>
                  </pic:spPr>
                </pic:pic>
              </a:graphicData>
            </a:graphic>
          </wp:inline>
        </w:drawing>
      </w:r>
    </w:p>
    <w:p w14:paraId="058DBFC4" w14:textId="77777777" w:rsidR="003C74A6" w:rsidRPr="00425300" w:rsidRDefault="004E0E6D" w:rsidP="00425300">
      <w:pPr>
        <w:spacing w:line="360" w:lineRule="auto"/>
        <w:jc w:val="both"/>
        <w:rPr>
          <w:rFonts w:ascii="Calibri" w:hAnsi="Calibri"/>
        </w:rPr>
      </w:pPr>
      <w:r>
        <w:rPr>
          <w:rFonts w:ascii="Calibri" w:hAnsi="Calibri"/>
        </w:rPr>
        <w:t xml:space="preserve">These results are set out in the table below, which also features the results for </w:t>
      </w:r>
      <w:r w:rsidRPr="00CE65D7">
        <w:rPr>
          <w:rFonts w:ascii="Calibri" w:hAnsi="Calibri"/>
          <w:i/>
        </w:rPr>
        <w:t>persons</w:t>
      </w:r>
      <w:r>
        <w:rPr>
          <w:rFonts w:ascii="Calibri" w:hAnsi="Calibri"/>
        </w:rPr>
        <w:t xml:space="preserve"> in each category of labour force status.</w:t>
      </w:r>
    </w:p>
    <w:tbl>
      <w:tblPr>
        <w:tblW w:w="4820" w:type="dxa"/>
        <w:jc w:val="center"/>
        <w:tblLook w:val="04A0" w:firstRow="1" w:lastRow="0" w:firstColumn="1" w:lastColumn="0" w:noHBand="0" w:noVBand="1"/>
      </w:tblPr>
      <w:tblGrid>
        <w:gridCol w:w="976"/>
        <w:gridCol w:w="955"/>
        <w:gridCol w:w="1156"/>
        <w:gridCol w:w="1733"/>
      </w:tblGrid>
      <w:tr w:rsidR="003C74A6" w:rsidRPr="00425300" w14:paraId="36ACE5A0" w14:textId="77777777" w:rsidTr="003C74A6">
        <w:trPr>
          <w:trHeight w:val="360"/>
          <w:jc w:val="center"/>
        </w:trPr>
        <w:tc>
          <w:tcPr>
            <w:tcW w:w="976" w:type="dxa"/>
            <w:tcBorders>
              <w:top w:val="nil"/>
              <w:left w:val="nil"/>
              <w:bottom w:val="nil"/>
              <w:right w:val="nil"/>
            </w:tcBorders>
            <w:shd w:val="clear" w:color="000000" w:fill="0F253F"/>
            <w:noWrap/>
            <w:vAlign w:val="center"/>
            <w:hideMark/>
          </w:tcPr>
          <w:p w14:paraId="2A02729C" w14:textId="77777777" w:rsidR="003C74A6" w:rsidRPr="00425300" w:rsidRDefault="003C74A6" w:rsidP="00425300">
            <w:pPr>
              <w:spacing w:line="360" w:lineRule="auto"/>
              <w:jc w:val="both"/>
              <w:rPr>
                <w:rFonts w:ascii="Calibri" w:eastAsia="Times New Roman" w:hAnsi="Calibri"/>
                <w:color w:val="FFFFFF"/>
                <w:sz w:val="18"/>
                <w:szCs w:val="18"/>
                <w:lang w:eastAsia="en-AU"/>
              </w:rPr>
            </w:pPr>
            <w:r w:rsidRPr="00425300">
              <w:rPr>
                <w:rFonts w:ascii="Calibri" w:eastAsia="Times New Roman" w:hAnsi="Calibri"/>
                <w:color w:val="FFFFFF"/>
                <w:sz w:val="18"/>
                <w:szCs w:val="18"/>
                <w:lang w:eastAsia="en-AU"/>
              </w:rPr>
              <w:t> </w:t>
            </w:r>
          </w:p>
        </w:tc>
        <w:tc>
          <w:tcPr>
            <w:tcW w:w="955" w:type="dxa"/>
            <w:tcBorders>
              <w:top w:val="nil"/>
              <w:left w:val="nil"/>
              <w:bottom w:val="nil"/>
              <w:right w:val="nil"/>
            </w:tcBorders>
            <w:shd w:val="clear" w:color="000000" w:fill="0F253F"/>
            <w:vAlign w:val="center"/>
            <w:hideMark/>
          </w:tcPr>
          <w:p w14:paraId="3AF38B30" w14:textId="77777777" w:rsidR="003C74A6" w:rsidRPr="00425300" w:rsidRDefault="003C74A6" w:rsidP="00425300">
            <w:pPr>
              <w:spacing w:line="360" w:lineRule="auto"/>
              <w:jc w:val="both"/>
              <w:rPr>
                <w:rFonts w:ascii="Calibri" w:eastAsia="Times New Roman" w:hAnsi="Calibri"/>
                <w:color w:val="FFFFFF"/>
                <w:sz w:val="18"/>
                <w:szCs w:val="18"/>
                <w:lang w:eastAsia="en-AU"/>
              </w:rPr>
            </w:pPr>
            <w:r w:rsidRPr="00425300">
              <w:rPr>
                <w:rFonts w:ascii="Calibri" w:eastAsia="Times New Roman" w:hAnsi="Calibri"/>
                <w:color w:val="FFFFFF"/>
                <w:sz w:val="18"/>
                <w:szCs w:val="18"/>
                <w:lang w:eastAsia="en-AU"/>
              </w:rPr>
              <w:t>Employed</w:t>
            </w:r>
          </w:p>
        </w:tc>
        <w:tc>
          <w:tcPr>
            <w:tcW w:w="1156" w:type="dxa"/>
            <w:tcBorders>
              <w:top w:val="nil"/>
              <w:left w:val="nil"/>
              <w:bottom w:val="nil"/>
              <w:right w:val="nil"/>
            </w:tcBorders>
            <w:shd w:val="clear" w:color="000000" w:fill="0F253F"/>
            <w:vAlign w:val="center"/>
            <w:hideMark/>
          </w:tcPr>
          <w:p w14:paraId="2C2F72FA" w14:textId="77777777" w:rsidR="003C74A6" w:rsidRPr="00425300" w:rsidRDefault="003C74A6" w:rsidP="00425300">
            <w:pPr>
              <w:spacing w:line="360" w:lineRule="auto"/>
              <w:jc w:val="both"/>
              <w:rPr>
                <w:rFonts w:ascii="Calibri" w:eastAsia="Times New Roman" w:hAnsi="Calibri"/>
                <w:color w:val="FFFFFF"/>
                <w:sz w:val="18"/>
                <w:szCs w:val="18"/>
                <w:lang w:eastAsia="en-AU"/>
              </w:rPr>
            </w:pPr>
            <w:r w:rsidRPr="00425300">
              <w:rPr>
                <w:rFonts w:ascii="Calibri" w:eastAsia="Times New Roman" w:hAnsi="Calibri"/>
                <w:color w:val="FFFFFF"/>
                <w:sz w:val="18"/>
                <w:szCs w:val="18"/>
                <w:lang w:eastAsia="en-AU"/>
              </w:rPr>
              <w:t>Unemployed</w:t>
            </w:r>
          </w:p>
        </w:tc>
        <w:tc>
          <w:tcPr>
            <w:tcW w:w="1733" w:type="dxa"/>
            <w:tcBorders>
              <w:top w:val="nil"/>
              <w:left w:val="nil"/>
              <w:bottom w:val="nil"/>
              <w:right w:val="nil"/>
            </w:tcBorders>
            <w:shd w:val="clear" w:color="000000" w:fill="0F253F"/>
            <w:vAlign w:val="center"/>
            <w:hideMark/>
          </w:tcPr>
          <w:p w14:paraId="335A9FB0" w14:textId="77777777" w:rsidR="003C74A6" w:rsidRPr="00425300" w:rsidRDefault="003C74A6" w:rsidP="00425300">
            <w:pPr>
              <w:spacing w:line="360" w:lineRule="auto"/>
              <w:jc w:val="both"/>
              <w:rPr>
                <w:rFonts w:ascii="Calibri" w:eastAsia="Times New Roman" w:hAnsi="Calibri"/>
                <w:color w:val="FFFFFF"/>
                <w:sz w:val="18"/>
                <w:szCs w:val="18"/>
                <w:lang w:eastAsia="en-AU"/>
              </w:rPr>
            </w:pPr>
            <w:r w:rsidRPr="00425300">
              <w:rPr>
                <w:rFonts w:ascii="Calibri" w:eastAsia="Times New Roman" w:hAnsi="Calibri"/>
                <w:color w:val="FFFFFF"/>
                <w:sz w:val="18"/>
                <w:szCs w:val="18"/>
                <w:lang w:eastAsia="en-AU"/>
              </w:rPr>
              <w:t>Not in labour force</w:t>
            </w:r>
          </w:p>
        </w:tc>
      </w:tr>
      <w:tr w:rsidR="003C74A6" w:rsidRPr="00425300" w14:paraId="77F75B24" w14:textId="77777777" w:rsidTr="003C74A6">
        <w:trPr>
          <w:trHeight w:val="300"/>
          <w:jc w:val="center"/>
        </w:trPr>
        <w:tc>
          <w:tcPr>
            <w:tcW w:w="976" w:type="dxa"/>
            <w:tcBorders>
              <w:top w:val="single" w:sz="4" w:space="0" w:color="auto"/>
              <w:left w:val="nil"/>
              <w:bottom w:val="single" w:sz="4" w:space="0" w:color="auto"/>
              <w:right w:val="nil"/>
            </w:tcBorders>
            <w:shd w:val="clear" w:color="auto" w:fill="auto"/>
            <w:noWrap/>
            <w:vAlign w:val="center"/>
            <w:hideMark/>
          </w:tcPr>
          <w:p w14:paraId="21F1F7EE" w14:textId="77777777" w:rsidR="003C74A6" w:rsidRPr="00425300" w:rsidRDefault="003C74A6" w:rsidP="00425300">
            <w:pPr>
              <w:spacing w:line="360" w:lineRule="auto"/>
              <w:jc w:val="both"/>
              <w:rPr>
                <w:rFonts w:ascii="Calibri" w:eastAsia="Times New Roman" w:hAnsi="Calibri"/>
                <w:sz w:val="18"/>
                <w:szCs w:val="18"/>
                <w:lang w:eastAsia="en-AU"/>
              </w:rPr>
            </w:pPr>
            <w:r w:rsidRPr="00425300">
              <w:rPr>
                <w:rFonts w:ascii="Calibri" w:eastAsia="Times New Roman" w:hAnsi="Calibri"/>
                <w:sz w:val="18"/>
                <w:szCs w:val="18"/>
                <w:lang w:eastAsia="en-AU"/>
              </w:rPr>
              <w:t>Males</w:t>
            </w:r>
          </w:p>
        </w:tc>
        <w:tc>
          <w:tcPr>
            <w:tcW w:w="955" w:type="dxa"/>
            <w:tcBorders>
              <w:top w:val="single" w:sz="4" w:space="0" w:color="auto"/>
              <w:left w:val="nil"/>
              <w:bottom w:val="single" w:sz="4" w:space="0" w:color="auto"/>
              <w:right w:val="nil"/>
            </w:tcBorders>
            <w:shd w:val="clear" w:color="auto" w:fill="auto"/>
            <w:noWrap/>
            <w:vAlign w:val="center"/>
            <w:hideMark/>
          </w:tcPr>
          <w:p w14:paraId="5AC11FE7" w14:textId="77777777" w:rsidR="003C74A6" w:rsidRPr="00425300" w:rsidRDefault="003C74A6" w:rsidP="004E0E6D">
            <w:pPr>
              <w:spacing w:line="360" w:lineRule="auto"/>
              <w:jc w:val="center"/>
              <w:rPr>
                <w:rFonts w:ascii="Calibri" w:eastAsia="Times New Roman" w:hAnsi="Calibri"/>
                <w:color w:val="000000"/>
                <w:sz w:val="18"/>
                <w:szCs w:val="18"/>
                <w:lang w:eastAsia="en-AU"/>
              </w:rPr>
            </w:pPr>
            <w:r w:rsidRPr="00425300">
              <w:rPr>
                <w:rFonts w:ascii="Calibri" w:eastAsia="Times New Roman" w:hAnsi="Calibri"/>
                <w:color w:val="000000"/>
                <w:sz w:val="18"/>
                <w:szCs w:val="18"/>
                <w:lang w:eastAsia="en-AU"/>
              </w:rPr>
              <w:t>11.0</w:t>
            </w:r>
          </w:p>
        </w:tc>
        <w:tc>
          <w:tcPr>
            <w:tcW w:w="1156" w:type="dxa"/>
            <w:tcBorders>
              <w:top w:val="single" w:sz="4" w:space="0" w:color="auto"/>
              <w:left w:val="nil"/>
              <w:bottom w:val="single" w:sz="4" w:space="0" w:color="auto"/>
              <w:right w:val="nil"/>
            </w:tcBorders>
            <w:shd w:val="clear" w:color="auto" w:fill="auto"/>
            <w:noWrap/>
            <w:vAlign w:val="center"/>
            <w:hideMark/>
          </w:tcPr>
          <w:p w14:paraId="3DF1D4D5" w14:textId="77777777" w:rsidR="003C74A6" w:rsidRPr="00425300" w:rsidRDefault="003C74A6" w:rsidP="004E0E6D">
            <w:pPr>
              <w:spacing w:line="360" w:lineRule="auto"/>
              <w:jc w:val="center"/>
              <w:rPr>
                <w:rFonts w:ascii="Calibri" w:eastAsia="Times New Roman" w:hAnsi="Calibri"/>
                <w:color w:val="000000"/>
                <w:sz w:val="18"/>
                <w:szCs w:val="18"/>
                <w:lang w:eastAsia="en-AU"/>
              </w:rPr>
            </w:pPr>
            <w:r w:rsidRPr="00425300">
              <w:rPr>
                <w:rFonts w:ascii="Calibri" w:eastAsia="Times New Roman" w:hAnsi="Calibri"/>
                <w:color w:val="000000"/>
                <w:sz w:val="18"/>
                <w:szCs w:val="18"/>
                <w:lang w:eastAsia="en-AU"/>
              </w:rPr>
              <w:t>17.2</w:t>
            </w:r>
          </w:p>
        </w:tc>
        <w:tc>
          <w:tcPr>
            <w:tcW w:w="1733" w:type="dxa"/>
            <w:tcBorders>
              <w:top w:val="single" w:sz="4" w:space="0" w:color="auto"/>
              <w:left w:val="nil"/>
              <w:bottom w:val="single" w:sz="4" w:space="0" w:color="auto"/>
              <w:right w:val="nil"/>
            </w:tcBorders>
            <w:shd w:val="clear" w:color="auto" w:fill="auto"/>
            <w:noWrap/>
            <w:vAlign w:val="center"/>
            <w:hideMark/>
          </w:tcPr>
          <w:p w14:paraId="017EC926" w14:textId="77777777" w:rsidR="003C74A6" w:rsidRPr="00425300" w:rsidRDefault="003C74A6" w:rsidP="004E0E6D">
            <w:pPr>
              <w:spacing w:line="360" w:lineRule="auto"/>
              <w:jc w:val="center"/>
              <w:rPr>
                <w:rFonts w:ascii="Calibri" w:eastAsia="Times New Roman" w:hAnsi="Calibri"/>
                <w:color w:val="000000"/>
                <w:sz w:val="18"/>
                <w:szCs w:val="18"/>
                <w:lang w:eastAsia="en-AU"/>
              </w:rPr>
            </w:pPr>
            <w:r w:rsidRPr="00425300">
              <w:rPr>
                <w:rFonts w:ascii="Calibri" w:eastAsia="Times New Roman" w:hAnsi="Calibri"/>
                <w:color w:val="000000"/>
                <w:sz w:val="18"/>
                <w:szCs w:val="18"/>
                <w:lang w:eastAsia="en-AU"/>
              </w:rPr>
              <w:t>24.9</w:t>
            </w:r>
          </w:p>
        </w:tc>
      </w:tr>
      <w:tr w:rsidR="003C74A6" w:rsidRPr="00425300" w14:paraId="7F9DADC8" w14:textId="77777777" w:rsidTr="003C74A6">
        <w:trPr>
          <w:trHeight w:val="300"/>
          <w:jc w:val="center"/>
        </w:trPr>
        <w:tc>
          <w:tcPr>
            <w:tcW w:w="976" w:type="dxa"/>
            <w:tcBorders>
              <w:top w:val="nil"/>
              <w:left w:val="nil"/>
              <w:bottom w:val="single" w:sz="4" w:space="0" w:color="auto"/>
              <w:right w:val="nil"/>
            </w:tcBorders>
            <w:shd w:val="clear" w:color="auto" w:fill="auto"/>
            <w:noWrap/>
            <w:vAlign w:val="center"/>
            <w:hideMark/>
          </w:tcPr>
          <w:p w14:paraId="677077F3" w14:textId="77777777" w:rsidR="003C74A6" w:rsidRPr="00425300" w:rsidRDefault="003C74A6" w:rsidP="00425300">
            <w:pPr>
              <w:spacing w:line="360" w:lineRule="auto"/>
              <w:jc w:val="both"/>
              <w:rPr>
                <w:rFonts w:ascii="Calibri" w:eastAsia="Times New Roman" w:hAnsi="Calibri"/>
                <w:sz w:val="18"/>
                <w:szCs w:val="18"/>
                <w:lang w:eastAsia="en-AU"/>
              </w:rPr>
            </w:pPr>
            <w:r w:rsidRPr="00425300">
              <w:rPr>
                <w:rFonts w:ascii="Calibri" w:eastAsia="Times New Roman" w:hAnsi="Calibri"/>
                <w:sz w:val="18"/>
                <w:szCs w:val="18"/>
                <w:lang w:eastAsia="en-AU"/>
              </w:rPr>
              <w:t>Females</w:t>
            </w:r>
          </w:p>
        </w:tc>
        <w:tc>
          <w:tcPr>
            <w:tcW w:w="955" w:type="dxa"/>
            <w:tcBorders>
              <w:top w:val="nil"/>
              <w:left w:val="nil"/>
              <w:bottom w:val="single" w:sz="4" w:space="0" w:color="auto"/>
              <w:right w:val="nil"/>
            </w:tcBorders>
            <w:shd w:val="clear" w:color="auto" w:fill="auto"/>
            <w:noWrap/>
            <w:vAlign w:val="center"/>
            <w:hideMark/>
          </w:tcPr>
          <w:p w14:paraId="60B6A507" w14:textId="77777777" w:rsidR="003C74A6" w:rsidRPr="00425300" w:rsidRDefault="003C74A6" w:rsidP="004E0E6D">
            <w:pPr>
              <w:spacing w:line="360" w:lineRule="auto"/>
              <w:jc w:val="center"/>
              <w:rPr>
                <w:rFonts w:ascii="Calibri" w:eastAsia="Times New Roman" w:hAnsi="Calibri"/>
                <w:color w:val="000000"/>
                <w:sz w:val="18"/>
                <w:szCs w:val="18"/>
                <w:lang w:eastAsia="en-AU"/>
              </w:rPr>
            </w:pPr>
            <w:r w:rsidRPr="00425300">
              <w:rPr>
                <w:rFonts w:ascii="Calibri" w:eastAsia="Times New Roman" w:hAnsi="Calibri"/>
                <w:color w:val="000000"/>
                <w:sz w:val="18"/>
                <w:szCs w:val="18"/>
                <w:lang w:eastAsia="en-AU"/>
              </w:rPr>
              <w:t>8.3</w:t>
            </w:r>
          </w:p>
        </w:tc>
        <w:tc>
          <w:tcPr>
            <w:tcW w:w="1156" w:type="dxa"/>
            <w:tcBorders>
              <w:top w:val="nil"/>
              <w:left w:val="nil"/>
              <w:bottom w:val="single" w:sz="4" w:space="0" w:color="auto"/>
              <w:right w:val="nil"/>
            </w:tcBorders>
            <w:shd w:val="clear" w:color="auto" w:fill="auto"/>
            <w:noWrap/>
            <w:vAlign w:val="center"/>
            <w:hideMark/>
          </w:tcPr>
          <w:p w14:paraId="59E5F221" w14:textId="77777777" w:rsidR="003C74A6" w:rsidRPr="00425300" w:rsidRDefault="003C74A6" w:rsidP="004E0E6D">
            <w:pPr>
              <w:spacing w:line="360" w:lineRule="auto"/>
              <w:jc w:val="center"/>
              <w:rPr>
                <w:rFonts w:ascii="Calibri" w:eastAsia="Times New Roman" w:hAnsi="Calibri"/>
                <w:color w:val="000000"/>
                <w:sz w:val="18"/>
                <w:szCs w:val="18"/>
                <w:lang w:eastAsia="en-AU"/>
              </w:rPr>
            </w:pPr>
            <w:r w:rsidRPr="00425300">
              <w:rPr>
                <w:rFonts w:ascii="Calibri" w:eastAsia="Times New Roman" w:hAnsi="Calibri"/>
                <w:color w:val="000000"/>
                <w:sz w:val="18"/>
                <w:szCs w:val="18"/>
                <w:lang w:eastAsia="en-AU"/>
              </w:rPr>
              <w:t>11.5</w:t>
            </w:r>
          </w:p>
        </w:tc>
        <w:tc>
          <w:tcPr>
            <w:tcW w:w="1733" w:type="dxa"/>
            <w:tcBorders>
              <w:top w:val="nil"/>
              <w:left w:val="nil"/>
              <w:bottom w:val="single" w:sz="4" w:space="0" w:color="auto"/>
              <w:right w:val="nil"/>
            </w:tcBorders>
            <w:shd w:val="clear" w:color="auto" w:fill="auto"/>
            <w:noWrap/>
            <w:vAlign w:val="center"/>
            <w:hideMark/>
          </w:tcPr>
          <w:p w14:paraId="6586CE1A" w14:textId="77777777" w:rsidR="003C74A6" w:rsidRPr="00425300" w:rsidRDefault="003C74A6" w:rsidP="004E0E6D">
            <w:pPr>
              <w:spacing w:line="360" w:lineRule="auto"/>
              <w:jc w:val="center"/>
              <w:rPr>
                <w:rFonts w:ascii="Calibri" w:eastAsia="Times New Roman" w:hAnsi="Calibri"/>
                <w:color w:val="000000"/>
                <w:sz w:val="18"/>
                <w:szCs w:val="18"/>
                <w:lang w:eastAsia="en-AU"/>
              </w:rPr>
            </w:pPr>
            <w:r w:rsidRPr="00425300">
              <w:rPr>
                <w:rFonts w:ascii="Calibri" w:eastAsia="Times New Roman" w:hAnsi="Calibri"/>
                <w:color w:val="000000"/>
                <w:sz w:val="18"/>
                <w:szCs w:val="18"/>
                <w:lang w:eastAsia="en-AU"/>
              </w:rPr>
              <w:t>24.0</w:t>
            </w:r>
          </w:p>
        </w:tc>
      </w:tr>
      <w:tr w:rsidR="003C74A6" w:rsidRPr="00425300" w14:paraId="3A6A8C32" w14:textId="77777777" w:rsidTr="003C74A6">
        <w:trPr>
          <w:trHeight w:val="300"/>
          <w:jc w:val="center"/>
        </w:trPr>
        <w:tc>
          <w:tcPr>
            <w:tcW w:w="976" w:type="dxa"/>
            <w:tcBorders>
              <w:top w:val="nil"/>
              <w:left w:val="nil"/>
              <w:bottom w:val="single" w:sz="4" w:space="0" w:color="auto"/>
              <w:right w:val="nil"/>
            </w:tcBorders>
            <w:shd w:val="clear" w:color="auto" w:fill="auto"/>
            <w:noWrap/>
            <w:vAlign w:val="center"/>
            <w:hideMark/>
          </w:tcPr>
          <w:p w14:paraId="5F20D8E6" w14:textId="77777777" w:rsidR="003C74A6" w:rsidRPr="00425300" w:rsidRDefault="003C74A6" w:rsidP="00425300">
            <w:pPr>
              <w:spacing w:line="360" w:lineRule="auto"/>
              <w:jc w:val="both"/>
              <w:rPr>
                <w:rFonts w:ascii="Calibri" w:eastAsia="Times New Roman" w:hAnsi="Calibri"/>
                <w:i/>
                <w:iCs/>
                <w:sz w:val="18"/>
                <w:szCs w:val="18"/>
                <w:lang w:eastAsia="en-AU"/>
              </w:rPr>
            </w:pPr>
            <w:r w:rsidRPr="00425300">
              <w:rPr>
                <w:rFonts w:ascii="Calibri" w:eastAsia="Times New Roman" w:hAnsi="Calibri"/>
                <w:i/>
                <w:iCs/>
                <w:sz w:val="18"/>
                <w:szCs w:val="18"/>
                <w:lang w:eastAsia="en-AU"/>
              </w:rPr>
              <w:t>Persons</w:t>
            </w:r>
          </w:p>
        </w:tc>
        <w:tc>
          <w:tcPr>
            <w:tcW w:w="955" w:type="dxa"/>
            <w:tcBorders>
              <w:top w:val="nil"/>
              <w:left w:val="nil"/>
              <w:bottom w:val="single" w:sz="4" w:space="0" w:color="auto"/>
              <w:right w:val="nil"/>
            </w:tcBorders>
            <w:shd w:val="clear" w:color="auto" w:fill="auto"/>
            <w:noWrap/>
            <w:vAlign w:val="center"/>
            <w:hideMark/>
          </w:tcPr>
          <w:p w14:paraId="0A2DEA84" w14:textId="77777777" w:rsidR="003C74A6" w:rsidRPr="00425300" w:rsidRDefault="003C74A6" w:rsidP="004E0E6D">
            <w:pPr>
              <w:spacing w:line="360" w:lineRule="auto"/>
              <w:jc w:val="center"/>
              <w:rPr>
                <w:rFonts w:ascii="Calibri" w:eastAsia="Times New Roman" w:hAnsi="Calibri"/>
                <w:i/>
                <w:iCs/>
                <w:sz w:val="18"/>
                <w:szCs w:val="18"/>
                <w:lang w:eastAsia="en-AU"/>
              </w:rPr>
            </w:pPr>
            <w:r w:rsidRPr="00425300">
              <w:rPr>
                <w:rFonts w:ascii="Calibri" w:eastAsia="Times New Roman" w:hAnsi="Calibri"/>
                <w:i/>
                <w:iCs/>
                <w:sz w:val="18"/>
                <w:szCs w:val="18"/>
                <w:lang w:eastAsia="en-AU"/>
              </w:rPr>
              <w:t>9.8</w:t>
            </w:r>
          </w:p>
        </w:tc>
        <w:tc>
          <w:tcPr>
            <w:tcW w:w="1156" w:type="dxa"/>
            <w:tcBorders>
              <w:top w:val="nil"/>
              <w:left w:val="nil"/>
              <w:bottom w:val="single" w:sz="4" w:space="0" w:color="auto"/>
              <w:right w:val="nil"/>
            </w:tcBorders>
            <w:shd w:val="clear" w:color="auto" w:fill="auto"/>
            <w:noWrap/>
            <w:vAlign w:val="center"/>
            <w:hideMark/>
          </w:tcPr>
          <w:p w14:paraId="1E8A8034" w14:textId="77777777" w:rsidR="003C74A6" w:rsidRPr="00425300" w:rsidRDefault="003C74A6" w:rsidP="004E0E6D">
            <w:pPr>
              <w:spacing w:line="360" w:lineRule="auto"/>
              <w:jc w:val="center"/>
              <w:rPr>
                <w:rFonts w:ascii="Calibri" w:eastAsia="Times New Roman" w:hAnsi="Calibri"/>
                <w:i/>
                <w:iCs/>
                <w:sz w:val="18"/>
                <w:szCs w:val="18"/>
                <w:lang w:eastAsia="en-AU"/>
              </w:rPr>
            </w:pPr>
            <w:r w:rsidRPr="00425300">
              <w:rPr>
                <w:rFonts w:ascii="Calibri" w:eastAsia="Times New Roman" w:hAnsi="Calibri"/>
                <w:i/>
                <w:iCs/>
                <w:sz w:val="18"/>
                <w:szCs w:val="18"/>
                <w:lang w:eastAsia="en-AU"/>
              </w:rPr>
              <w:t>14.4</w:t>
            </w:r>
          </w:p>
        </w:tc>
        <w:tc>
          <w:tcPr>
            <w:tcW w:w="1733" w:type="dxa"/>
            <w:tcBorders>
              <w:top w:val="nil"/>
              <w:left w:val="nil"/>
              <w:bottom w:val="single" w:sz="4" w:space="0" w:color="auto"/>
              <w:right w:val="nil"/>
            </w:tcBorders>
            <w:shd w:val="clear" w:color="auto" w:fill="auto"/>
            <w:noWrap/>
            <w:vAlign w:val="center"/>
            <w:hideMark/>
          </w:tcPr>
          <w:p w14:paraId="426511D9" w14:textId="77777777" w:rsidR="003C74A6" w:rsidRPr="00425300" w:rsidRDefault="003C74A6" w:rsidP="004E0E6D">
            <w:pPr>
              <w:spacing w:line="360" w:lineRule="auto"/>
              <w:jc w:val="center"/>
              <w:rPr>
                <w:rFonts w:ascii="Calibri" w:eastAsia="Times New Roman" w:hAnsi="Calibri"/>
                <w:i/>
                <w:iCs/>
                <w:sz w:val="18"/>
                <w:szCs w:val="18"/>
                <w:lang w:eastAsia="en-AU"/>
              </w:rPr>
            </w:pPr>
            <w:r w:rsidRPr="00425300">
              <w:rPr>
                <w:rFonts w:ascii="Calibri" w:eastAsia="Times New Roman" w:hAnsi="Calibri"/>
                <w:i/>
                <w:iCs/>
                <w:sz w:val="18"/>
                <w:szCs w:val="18"/>
                <w:lang w:eastAsia="en-AU"/>
              </w:rPr>
              <w:t>24.3</w:t>
            </w:r>
          </w:p>
        </w:tc>
      </w:tr>
    </w:tbl>
    <w:p w14:paraId="24913641" w14:textId="77777777" w:rsidR="003C74A6" w:rsidRPr="002E624B" w:rsidRDefault="003C74A6" w:rsidP="002E624B">
      <w:pPr>
        <w:jc w:val="both"/>
        <w:rPr>
          <w:rFonts w:ascii="Calibri" w:hAnsi="Calibri"/>
          <w:sz w:val="8"/>
          <w:szCs w:val="8"/>
        </w:rPr>
      </w:pPr>
    </w:p>
    <w:p w14:paraId="71DB1827" w14:textId="77777777" w:rsidR="003C74A6" w:rsidRDefault="004E0E6D" w:rsidP="00425300">
      <w:pPr>
        <w:spacing w:line="360" w:lineRule="auto"/>
        <w:jc w:val="both"/>
        <w:rPr>
          <w:rFonts w:ascii="Calibri" w:hAnsi="Calibri"/>
        </w:rPr>
      </w:pPr>
      <w:r>
        <w:rPr>
          <w:rFonts w:ascii="Calibri" w:hAnsi="Calibri"/>
        </w:rPr>
        <w:t xml:space="preserve">The interaction of age and labour force status is explored in the diagram below, which shows that among people in paid employment, the proportion with limited literacy initially </w:t>
      </w:r>
      <w:r w:rsidR="00CE65D7">
        <w:rPr>
          <w:rFonts w:ascii="Calibri" w:hAnsi="Calibri"/>
        </w:rPr>
        <w:t>fell</w:t>
      </w:r>
      <w:r>
        <w:rPr>
          <w:rFonts w:ascii="Calibri" w:hAnsi="Calibri"/>
        </w:rPr>
        <w:t xml:space="preserve"> with increasing age, before climbing steeply to 15%, or about one in six, among employed people aged 55 to 64.</w:t>
      </w:r>
    </w:p>
    <w:p w14:paraId="7D3A8760" w14:textId="77777777" w:rsidR="002A2E7D" w:rsidRPr="008C4528" w:rsidRDefault="002A2E7D" w:rsidP="008C4528">
      <w:pPr>
        <w:jc w:val="both"/>
        <w:rPr>
          <w:rFonts w:ascii="Calibri" w:hAnsi="Calibri"/>
          <w:sz w:val="8"/>
          <w:szCs w:val="8"/>
        </w:rPr>
      </w:pPr>
    </w:p>
    <w:p w14:paraId="49686DC7" w14:textId="77777777" w:rsidR="004E0E6D" w:rsidRPr="0007061F" w:rsidRDefault="0007061F" w:rsidP="0007061F">
      <w:pPr>
        <w:jc w:val="both"/>
        <w:rPr>
          <w:rFonts w:ascii="Calibri" w:hAnsi="Calibri"/>
          <w:color w:val="404040"/>
          <w:sz w:val="20"/>
          <w:szCs w:val="20"/>
        </w:rPr>
      </w:pPr>
      <w:r w:rsidRPr="00134B2D">
        <w:rPr>
          <w:rFonts w:ascii="Calibri" w:hAnsi="Calibri"/>
          <w:color w:val="404040"/>
          <w:sz w:val="20"/>
          <w:szCs w:val="20"/>
        </w:rPr>
        <w:t xml:space="preserve">Per cent of </w:t>
      </w:r>
      <w:r>
        <w:rPr>
          <w:rFonts w:ascii="Calibri" w:hAnsi="Calibri"/>
          <w:color w:val="404040"/>
          <w:sz w:val="20"/>
          <w:szCs w:val="20"/>
        </w:rPr>
        <w:t xml:space="preserve">Employed </w:t>
      </w:r>
      <w:r w:rsidRPr="00134B2D">
        <w:rPr>
          <w:rFonts w:ascii="Calibri" w:hAnsi="Calibri"/>
          <w:color w:val="404040"/>
          <w:sz w:val="20"/>
          <w:szCs w:val="20"/>
        </w:rPr>
        <w:t xml:space="preserve">Persons </w:t>
      </w:r>
      <w:r w:rsidR="00053790">
        <w:rPr>
          <w:rFonts w:ascii="Calibri" w:hAnsi="Calibri"/>
          <w:color w:val="404040"/>
          <w:sz w:val="20"/>
          <w:szCs w:val="20"/>
        </w:rPr>
        <w:t>with Limited English Literacy</w:t>
      </w:r>
      <w:r>
        <w:rPr>
          <w:rFonts w:ascii="Calibri" w:hAnsi="Calibri"/>
          <w:color w:val="404040"/>
          <w:sz w:val="20"/>
          <w:szCs w:val="20"/>
        </w:rPr>
        <w:t>, by Age: Australia, 2012</w:t>
      </w:r>
    </w:p>
    <w:p w14:paraId="46484788" w14:textId="77777777" w:rsidR="003C74A6" w:rsidRDefault="002F7D63" w:rsidP="00425300">
      <w:pPr>
        <w:spacing w:line="360" w:lineRule="auto"/>
        <w:jc w:val="center"/>
      </w:pPr>
      <w:r>
        <w:rPr>
          <w:noProof/>
          <w:lang w:eastAsia="en-AU"/>
        </w:rPr>
        <w:drawing>
          <wp:inline distT="0" distB="0" distL="0" distR="0" wp14:anchorId="67321FD9" wp14:editId="08FCA665">
            <wp:extent cx="3952544" cy="2638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t="4780"/>
                    <a:stretch/>
                  </pic:blipFill>
                  <pic:spPr bwMode="auto">
                    <a:xfrm>
                      <a:off x="0" y="0"/>
                      <a:ext cx="3952544" cy="2638425"/>
                    </a:xfrm>
                    <a:prstGeom prst="rect">
                      <a:avLst/>
                    </a:prstGeom>
                    <a:noFill/>
                    <a:ln>
                      <a:noFill/>
                    </a:ln>
                    <a:extLst>
                      <a:ext uri="{53640926-AAD7-44D8-BBD7-CCE9431645EC}">
                        <a14:shadowObscured xmlns:a14="http://schemas.microsoft.com/office/drawing/2010/main"/>
                      </a:ext>
                    </a:extLst>
                  </pic:spPr>
                </pic:pic>
              </a:graphicData>
            </a:graphic>
          </wp:inline>
        </w:drawing>
      </w:r>
    </w:p>
    <w:p w14:paraId="5DECF6E2" w14:textId="77777777" w:rsidR="002E624B" w:rsidRDefault="002E624B">
      <w:pPr>
        <w:rPr>
          <w:rFonts w:ascii="Calibri" w:hAnsi="Calibri"/>
        </w:rPr>
      </w:pPr>
      <w:r>
        <w:rPr>
          <w:rFonts w:ascii="Calibri" w:hAnsi="Calibri"/>
        </w:rPr>
        <w:br w:type="page"/>
      </w:r>
    </w:p>
    <w:p w14:paraId="66C82B11" w14:textId="77777777" w:rsidR="002A2E7D" w:rsidRPr="002A2E7D" w:rsidRDefault="002A2E7D" w:rsidP="002A2E7D">
      <w:pPr>
        <w:pBdr>
          <w:top w:val="single" w:sz="4" w:space="1" w:color="0F243E"/>
        </w:pBdr>
        <w:spacing w:line="360" w:lineRule="auto"/>
        <w:ind w:right="2834"/>
        <w:jc w:val="both"/>
        <w:rPr>
          <w:rFonts w:ascii="Calibri" w:hAnsi="Calibri"/>
          <w:b/>
          <w:color w:val="17365D"/>
        </w:rPr>
      </w:pPr>
      <w:r w:rsidRPr="002A2E7D">
        <w:rPr>
          <w:rFonts w:ascii="Calibri" w:hAnsi="Calibri"/>
          <w:b/>
          <w:color w:val="17365D"/>
        </w:rPr>
        <w:t xml:space="preserve">Literacy and Access to </w:t>
      </w:r>
      <w:r>
        <w:rPr>
          <w:rFonts w:ascii="Calibri" w:hAnsi="Calibri"/>
          <w:b/>
          <w:color w:val="17365D"/>
        </w:rPr>
        <w:t xml:space="preserve">Modes of </w:t>
      </w:r>
      <w:r w:rsidRPr="002A2E7D">
        <w:rPr>
          <w:rFonts w:ascii="Calibri" w:hAnsi="Calibri"/>
          <w:b/>
          <w:color w:val="17365D"/>
        </w:rPr>
        <w:t>Written Communication</w:t>
      </w:r>
    </w:p>
    <w:p w14:paraId="28292BC1" w14:textId="77777777" w:rsidR="002A2E7D" w:rsidRDefault="002A2E7D" w:rsidP="002A2E7D">
      <w:pPr>
        <w:spacing w:line="360" w:lineRule="auto"/>
        <w:jc w:val="both"/>
        <w:rPr>
          <w:rFonts w:ascii="Calibri" w:hAnsi="Calibri"/>
        </w:rPr>
      </w:pPr>
      <w:r w:rsidRPr="0097538B">
        <w:rPr>
          <w:rFonts w:ascii="Calibri" w:hAnsi="Calibri"/>
        </w:rPr>
        <w:t>There are marked differences between people with limited and high levels of literacy, in their exposure to reading materials, including diagrams and maps, the internet and emails, b</w:t>
      </w:r>
      <w:r>
        <w:rPr>
          <w:rFonts w:ascii="Calibri" w:hAnsi="Calibri"/>
        </w:rPr>
        <w:t xml:space="preserve">ooks, magazines and newspapers. </w:t>
      </w:r>
      <w:r w:rsidRPr="0097538B">
        <w:rPr>
          <w:rFonts w:ascii="Calibri" w:hAnsi="Calibri"/>
        </w:rPr>
        <w:t>In everyday life, people with higher levels of literacy are five times more likely than those with limited literacy, to read diagrams, books or maps, and twenty times more likely to write or read memos, letters or emails.</w:t>
      </w:r>
    </w:p>
    <w:p w14:paraId="4E805943" w14:textId="77777777" w:rsidR="002A2E7D" w:rsidRDefault="002A2E7D" w:rsidP="002A2E7D">
      <w:pPr>
        <w:spacing w:line="360" w:lineRule="auto"/>
        <w:jc w:val="both"/>
        <w:rPr>
          <w:rFonts w:ascii="Calibri" w:hAnsi="Calibri"/>
        </w:rPr>
      </w:pPr>
    </w:p>
    <w:p w14:paraId="2CED4A7D" w14:textId="77777777" w:rsidR="002A2E7D" w:rsidRDefault="002A2E7D" w:rsidP="002A2E7D">
      <w:pPr>
        <w:spacing w:line="360" w:lineRule="auto"/>
        <w:jc w:val="both"/>
        <w:rPr>
          <w:rFonts w:ascii="Calibri" w:hAnsi="Calibri"/>
        </w:rPr>
      </w:pPr>
    </w:p>
    <w:p w14:paraId="264F6D83" w14:textId="77777777" w:rsidR="002A2E7D" w:rsidRDefault="002A2E7D" w:rsidP="002A2E7D">
      <w:pPr>
        <w:spacing w:line="360" w:lineRule="auto"/>
        <w:jc w:val="both"/>
        <w:rPr>
          <w:rFonts w:ascii="Calibri" w:hAnsi="Calibri"/>
        </w:rPr>
      </w:pPr>
    </w:p>
    <w:p w14:paraId="5028F4BC" w14:textId="77777777" w:rsidR="002A2E7D" w:rsidRDefault="002A2E7D" w:rsidP="002A2E7D">
      <w:pPr>
        <w:spacing w:line="360" w:lineRule="auto"/>
        <w:jc w:val="both"/>
        <w:rPr>
          <w:rFonts w:ascii="Calibri" w:hAnsi="Calibri"/>
        </w:rPr>
      </w:pPr>
      <w:r>
        <w:rPr>
          <w:rFonts w:ascii="Calibri" w:hAnsi="Calibri"/>
          <w:color w:val="404040"/>
          <w:sz w:val="20"/>
          <w:szCs w:val="20"/>
        </w:rPr>
        <w:t>Access to, or Use of, Written Media by Literacy Level: Australia, 2012</w:t>
      </w:r>
    </w:p>
    <w:p w14:paraId="4E41A856" w14:textId="77777777" w:rsidR="002A2E7D" w:rsidRDefault="008C4528" w:rsidP="002A2E7D">
      <w:pPr>
        <w:spacing w:line="360" w:lineRule="auto"/>
        <w:jc w:val="both"/>
        <w:rPr>
          <w:rFonts w:ascii="Calibri" w:hAnsi="Calibri"/>
        </w:rPr>
      </w:pPr>
      <w:r w:rsidRPr="008C4528">
        <w:rPr>
          <w:noProof/>
        </w:rPr>
        <w:drawing>
          <wp:inline distT="0" distB="0" distL="0" distR="0" wp14:anchorId="5F882D02" wp14:editId="06338809">
            <wp:extent cx="6048375" cy="401115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9487"/>
                    <a:stretch/>
                  </pic:blipFill>
                  <pic:spPr bwMode="auto">
                    <a:xfrm>
                      <a:off x="0" y="0"/>
                      <a:ext cx="6043986" cy="4008239"/>
                    </a:xfrm>
                    <a:prstGeom prst="rect">
                      <a:avLst/>
                    </a:prstGeom>
                    <a:noFill/>
                    <a:ln>
                      <a:noFill/>
                    </a:ln>
                    <a:extLst>
                      <a:ext uri="{53640926-AAD7-44D8-BBD7-CCE9431645EC}">
                        <a14:shadowObscured xmlns:a14="http://schemas.microsoft.com/office/drawing/2010/main"/>
                      </a:ext>
                    </a:extLst>
                  </pic:spPr>
                </pic:pic>
              </a:graphicData>
            </a:graphic>
          </wp:inline>
        </w:drawing>
      </w:r>
    </w:p>
    <w:p w14:paraId="47E3D57E" w14:textId="77777777" w:rsidR="002A2E7D" w:rsidRDefault="002A2E7D" w:rsidP="002A2E7D">
      <w:pPr>
        <w:spacing w:line="360" w:lineRule="auto"/>
        <w:jc w:val="both"/>
        <w:rPr>
          <w:rFonts w:ascii="Calibri" w:hAnsi="Calibri"/>
        </w:rPr>
      </w:pPr>
    </w:p>
    <w:p w14:paraId="0A820BFB" w14:textId="77777777" w:rsidR="002A2E7D" w:rsidRDefault="002A2E7D">
      <w:pPr>
        <w:rPr>
          <w:rFonts w:ascii="Calibri" w:hAnsi="Calibri"/>
        </w:rPr>
      </w:pPr>
    </w:p>
    <w:p w14:paraId="3A12616B" w14:textId="77777777" w:rsidR="002A2E7D" w:rsidRDefault="002A2E7D">
      <w:pPr>
        <w:rPr>
          <w:rFonts w:ascii="Calibri" w:hAnsi="Calibri"/>
        </w:rPr>
      </w:pPr>
    </w:p>
    <w:p w14:paraId="6E30196A" w14:textId="77777777" w:rsidR="002A2E7D" w:rsidRDefault="002A2E7D">
      <w:pPr>
        <w:rPr>
          <w:rFonts w:ascii="Calibri" w:hAnsi="Calibri"/>
        </w:rPr>
      </w:pPr>
      <w:r>
        <w:rPr>
          <w:rFonts w:ascii="Calibri" w:hAnsi="Calibri"/>
        </w:rPr>
        <w:br w:type="page"/>
      </w:r>
    </w:p>
    <w:p w14:paraId="464BE5A7" w14:textId="77777777" w:rsidR="00F207ED" w:rsidRPr="00834D75" w:rsidRDefault="00F207ED" w:rsidP="00834D75">
      <w:pPr>
        <w:pBdr>
          <w:top w:val="single" w:sz="4" w:space="1" w:color="0F243E"/>
        </w:pBdr>
        <w:spacing w:line="360" w:lineRule="auto"/>
        <w:ind w:right="2834"/>
        <w:jc w:val="both"/>
        <w:rPr>
          <w:rFonts w:ascii="Calibri" w:hAnsi="Calibri"/>
          <w:b/>
          <w:color w:val="17365D"/>
        </w:rPr>
      </w:pPr>
      <w:r w:rsidRPr="00834D75">
        <w:rPr>
          <w:rFonts w:ascii="Calibri" w:hAnsi="Calibri"/>
          <w:b/>
          <w:color w:val="17365D"/>
        </w:rPr>
        <w:t>The Prevalence of Limited English Literacy among Victorian Municipalities</w:t>
      </w:r>
    </w:p>
    <w:p w14:paraId="68B6121B" w14:textId="77777777" w:rsidR="00F207ED" w:rsidRDefault="00F207ED" w:rsidP="00F207ED">
      <w:pPr>
        <w:spacing w:line="360" w:lineRule="auto"/>
        <w:jc w:val="both"/>
        <w:rPr>
          <w:rFonts w:ascii="Calibri" w:hAnsi="Calibri"/>
        </w:rPr>
      </w:pPr>
      <w:r w:rsidRPr="00FA4F4D">
        <w:rPr>
          <w:rFonts w:ascii="Calibri" w:hAnsi="Calibri"/>
        </w:rPr>
        <w:t xml:space="preserve">To generate sound estimates of the overall proportion of people </w:t>
      </w:r>
      <w:r>
        <w:rPr>
          <w:rFonts w:ascii="Calibri" w:hAnsi="Calibri"/>
        </w:rPr>
        <w:t xml:space="preserve">aged 15-74 </w:t>
      </w:r>
      <w:r w:rsidRPr="00FA4F4D">
        <w:rPr>
          <w:rFonts w:ascii="Calibri" w:hAnsi="Calibri"/>
        </w:rPr>
        <w:t xml:space="preserve">with limited literacy in specific localities, the prevalence of </w:t>
      </w:r>
      <w:r>
        <w:rPr>
          <w:rFonts w:ascii="Calibri" w:hAnsi="Calibri"/>
        </w:rPr>
        <w:t>limited</w:t>
      </w:r>
      <w:r w:rsidRPr="00FA4F4D">
        <w:rPr>
          <w:rFonts w:ascii="Calibri" w:hAnsi="Calibri"/>
        </w:rPr>
        <w:t xml:space="preserve"> literacy among various combinations of age, educational and birthplace were </w:t>
      </w:r>
      <w:r>
        <w:rPr>
          <w:rFonts w:ascii="Calibri" w:hAnsi="Calibri"/>
        </w:rPr>
        <w:t xml:space="preserve">determined from an earlier national survey of literacy – the </w:t>
      </w:r>
      <w:r w:rsidRPr="00FA4F4D">
        <w:rPr>
          <w:rFonts w:ascii="Calibri" w:hAnsi="Calibri"/>
        </w:rPr>
        <w:t>2006 Adult Literacy and Life Skills Survey</w:t>
      </w:r>
      <w:r>
        <w:rPr>
          <w:rFonts w:ascii="Calibri" w:hAnsi="Calibri"/>
        </w:rPr>
        <w:t xml:space="preserve"> - then </w:t>
      </w:r>
      <w:r w:rsidRPr="00FA4F4D">
        <w:rPr>
          <w:rFonts w:ascii="Calibri" w:hAnsi="Calibri"/>
        </w:rPr>
        <w:t>coupled with information about the population of these segments of the community, based on the findings of the 2006 Census. The result</w:t>
      </w:r>
      <w:r>
        <w:rPr>
          <w:rFonts w:ascii="Calibri" w:hAnsi="Calibri"/>
        </w:rPr>
        <w:t>s</w:t>
      </w:r>
      <w:r w:rsidRPr="00FA4F4D">
        <w:rPr>
          <w:rFonts w:ascii="Calibri" w:hAnsi="Calibri"/>
        </w:rPr>
        <w:t xml:space="preserve"> </w:t>
      </w:r>
      <w:r>
        <w:rPr>
          <w:rFonts w:ascii="Calibri" w:hAnsi="Calibri"/>
        </w:rPr>
        <w:t>suggested</w:t>
      </w:r>
      <w:r w:rsidRPr="00FA4F4D">
        <w:rPr>
          <w:rFonts w:ascii="Calibri" w:hAnsi="Calibri"/>
        </w:rPr>
        <w:t xml:space="preserve"> that approximately 26% of residents of Greater Dandenong aged 15 to 74 - or 21,000 people - have limited English literacy (Literacy Level One), compared with 16% of Victorian residents.</w:t>
      </w:r>
    </w:p>
    <w:p w14:paraId="2BE178DE" w14:textId="77777777" w:rsidR="00F207ED" w:rsidRDefault="002A2E7D" w:rsidP="00F207ED">
      <w:pPr>
        <w:spacing w:line="360" w:lineRule="auto"/>
        <w:jc w:val="both"/>
        <w:rPr>
          <w:rFonts w:ascii="Calibri" w:hAnsi="Calibri"/>
        </w:rPr>
      </w:pPr>
      <w:r>
        <w:rPr>
          <w:rFonts w:ascii="Calibri" w:hAnsi="Calibri"/>
          <w:noProof/>
          <w:lang w:eastAsia="en-AU"/>
        </w:rPr>
        <w:drawing>
          <wp:anchor distT="0" distB="0" distL="114300" distR="114300" simplePos="0" relativeHeight="251656704" behindDoc="1" locked="0" layoutInCell="1" allowOverlap="1" wp14:anchorId="01F680BD" wp14:editId="68B5805D">
            <wp:simplePos x="0" y="0"/>
            <wp:positionH relativeFrom="column">
              <wp:posOffset>13335</wp:posOffset>
            </wp:positionH>
            <wp:positionV relativeFrom="paragraph">
              <wp:posOffset>633730</wp:posOffset>
            </wp:positionV>
            <wp:extent cx="4610100" cy="6503035"/>
            <wp:effectExtent l="0" t="0" r="0" b="0"/>
            <wp:wrapTight wrapText="bothSides">
              <wp:wrapPolygon edited="0">
                <wp:start x="89" y="63"/>
                <wp:lineTo x="89" y="21450"/>
                <wp:lineTo x="21421" y="21450"/>
                <wp:lineTo x="21421" y="63"/>
                <wp:lineTo x="89" y="63"/>
              </wp:wrapPolygon>
            </wp:wrapTight>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0100" cy="650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F207ED" w:rsidRPr="00FA4F4D">
        <w:rPr>
          <w:rFonts w:ascii="Calibri" w:hAnsi="Calibri"/>
        </w:rPr>
        <w:t xml:space="preserve">The </w:t>
      </w:r>
      <w:r w:rsidR="00F207ED">
        <w:rPr>
          <w:rFonts w:ascii="Calibri" w:hAnsi="Calibri"/>
        </w:rPr>
        <w:t xml:space="preserve">estimated </w:t>
      </w:r>
      <w:r w:rsidR="00F207ED" w:rsidRPr="00FA4F4D">
        <w:rPr>
          <w:rFonts w:ascii="Calibri" w:hAnsi="Calibri"/>
        </w:rPr>
        <w:t>prevalence of limited literacy range</w:t>
      </w:r>
      <w:r w:rsidR="00F207ED">
        <w:rPr>
          <w:rFonts w:ascii="Calibri" w:hAnsi="Calibri"/>
        </w:rPr>
        <w:t>s</w:t>
      </w:r>
      <w:r w:rsidR="00F207ED" w:rsidRPr="00FA4F4D">
        <w:rPr>
          <w:rFonts w:ascii="Calibri" w:hAnsi="Calibri"/>
        </w:rPr>
        <w:t xml:space="preserve"> from approximately a quarter of 15-74 year-olds in Greater Dandenong, Brimbank and Whittlesea, to a little over one in ten in Port Phillip, Bayside and Stonnington. Among those in Greater Dandenong with limited literacy are residents born in non English speaking countries - who account for four-fifths of people with limited English fluency in this community, and people educated to year ten or less - who represent two-thirds of residents with limited literacy.</w:t>
      </w:r>
    </w:p>
    <w:p w14:paraId="03E69513" w14:textId="77777777" w:rsidR="002A2E7D" w:rsidRDefault="002A2E7D" w:rsidP="00F207ED">
      <w:pPr>
        <w:spacing w:line="360" w:lineRule="auto"/>
        <w:jc w:val="both"/>
        <w:rPr>
          <w:rFonts w:ascii="Calibri" w:hAnsi="Calibri"/>
        </w:rPr>
      </w:pPr>
    </w:p>
    <w:p w14:paraId="3FF1A4C3" w14:textId="77777777" w:rsidR="002A2E7D" w:rsidRDefault="002A2E7D" w:rsidP="00F207ED">
      <w:pPr>
        <w:spacing w:line="360" w:lineRule="auto"/>
        <w:jc w:val="both"/>
        <w:rPr>
          <w:rFonts w:ascii="Calibri" w:hAnsi="Calibri"/>
        </w:rPr>
      </w:pPr>
    </w:p>
    <w:p w14:paraId="344AA2C9" w14:textId="77777777" w:rsidR="00F207ED" w:rsidRPr="00622B56" w:rsidRDefault="00F207ED" w:rsidP="002A2E7D">
      <w:pPr>
        <w:jc w:val="both"/>
        <w:rPr>
          <w:rFonts w:ascii="Calibri" w:hAnsi="Calibri"/>
          <w:color w:val="595959"/>
          <w:sz w:val="20"/>
          <w:szCs w:val="20"/>
        </w:rPr>
      </w:pPr>
      <w:r w:rsidRPr="00622B56">
        <w:rPr>
          <w:rFonts w:ascii="Calibri" w:hAnsi="Calibri"/>
          <w:color w:val="595959"/>
          <w:sz w:val="20"/>
          <w:szCs w:val="20"/>
        </w:rPr>
        <w:t>Estimated Per Cent of Residents with Limited English Literacy</w:t>
      </w:r>
    </w:p>
    <w:p w14:paraId="2E53B99C" w14:textId="77777777" w:rsidR="00F207ED" w:rsidRDefault="00F207ED" w:rsidP="00F207ED">
      <w:pPr>
        <w:spacing w:line="360" w:lineRule="auto"/>
        <w:jc w:val="both"/>
        <w:rPr>
          <w:rFonts w:ascii="Calibri" w:hAnsi="Calibri"/>
        </w:rPr>
      </w:pPr>
    </w:p>
    <w:p w14:paraId="5D045F2D" w14:textId="77777777" w:rsidR="00F207ED" w:rsidRDefault="00F207ED" w:rsidP="00F207ED">
      <w:pPr>
        <w:spacing w:line="360" w:lineRule="auto"/>
        <w:jc w:val="both"/>
        <w:rPr>
          <w:rFonts w:ascii="Calibri" w:hAnsi="Calibri"/>
        </w:rPr>
      </w:pPr>
    </w:p>
    <w:p w14:paraId="0BC42275" w14:textId="77777777" w:rsidR="00F207ED" w:rsidRDefault="00F207ED" w:rsidP="00F207ED">
      <w:pPr>
        <w:spacing w:line="360" w:lineRule="auto"/>
        <w:jc w:val="both"/>
        <w:rPr>
          <w:rFonts w:ascii="Calibri" w:hAnsi="Calibri"/>
        </w:rPr>
      </w:pPr>
    </w:p>
    <w:p w14:paraId="7E6AA590" w14:textId="77777777" w:rsidR="00F207ED" w:rsidRDefault="00F207ED" w:rsidP="00F207ED">
      <w:pPr>
        <w:spacing w:line="360" w:lineRule="auto"/>
        <w:jc w:val="both"/>
        <w:rPr>
          <w:rFonts w:ascii="Calibri" w:hAnsi="Calibri"/>
        </w:rPr>
      </w:pPr>
    </w:p>
    <w:p w14:paraId="5C5E74F4" w14:textId="77777777" w:rsidR="00F207ED" w:rsidRDefault="00F207ED" w:rsidP="00F207ED">
      <w:pPr>
        <w:spacing w:line="360" w:lineRule="auto"/>
        <w:jc w:val="both"/>
        <w:rPr>
          <w:rFonts w:ascii="Calibri" w:hAnsi="Calibri"/>
        </w:rPr>
      </w:pPr>
    </w:p>
    <w:p w14:paraId="2EB9A75B" w14:textId="77777777" w:rsidR="002A2E7D" w:rsidRDefault="002A2E7D" w:rsidP="00F207ED">
      <w:pPr>
        <w:spacing w:line="360" w:lineRule="auto"/>
        <w:jc w:val="both"/>
        <w:rPr>
          <w:rFonts w:ascii="Calibri" w:hAnsi="Calibri"/>
        </w:rPr>
      </w:pPr>
    </w:p>
    <w:p w14:paraId="23562B6C" w14:textId="77777777" w:rsidR="002A2E7D" w:rsidRDefault="002A2E7D" w:rsidP="00F207ED">
      <w:pPr>
        <w:spacing w:line="360" w:lineRule="auto"/>
        <w:jc w:val="both"/>
        <w:rPr>
          <w:rFonts w:ascii="Calibri" w:hAnsi="Calibri"/>
        </w:rPr>
      </w:pPr>
    </w:p>
    <w:p w14:paraId="3BCC8E26" w14:textId="77777777" w:rsidR="002A2E7D" w:rsidRDefault="002A2E7D">
      <w:pPr>
        <w:rPr>
          <w:rFonts w:ascii="Calibri" w:hAnsi="Calibri"/>
        </w:rPr>
      </w:pPr>
      <w:r>
        <w:rPr>
          <w:rFonts w:ascii="Calibri" w:hAnsi="Calibri"/>
        </w:rPr>
        <w:br w:type="page"/>
      </w:r>
    </w:p>
    <w:p w14:paraId="31761F52" w14:textId="77777777" w:rsidR="00F207ED" w:rsidRDefault="00F207ED" w:rsidP="00F207ED">
      <w:pPr>
        <w:spacing w:line="360" w:lineRule="auto"/>
        <w:jc w:val="both"/>
        <w:rPr>
          <w:rFonts w:ascii="Calibri" w:hAnsi="Calibri"/>
        </w:rPr>
      </w:pPr>
      <w:r w:rsidRPr="00FA4F4D">
        <w:rPr>
          <w:rFonts w:ascii="Calibri" w:hAnsi="Calibri"/>
        </w:rPr>
        <w:t xml:space="preserve">The illustration </w:t>
      </w:r>
      <w:r w:rsidR="00834D75">
        <w:rPr>
          <w:rFonts w:ascii="Calibri" w:hAnsi="Calibri"/>
        </w:rPr>
        <w:t>below</w:t>
      </w:r>
      <w:r w:rsidRPr="00FA4F4D">
        <w:rPr>
          <w:rFonts w:ascii="Calibri" w:hAnsi="Calibri"/>
        </w:rPr>
        <w:t xml:space="preserve"> depicts the estimated proportion of residents at Literacy Level One, within the 6,000 Census Collection Districts of metropolitan Melbourne, with the darker areas representing the highest concentrations of low literacy. Notably, the prevalence of limited literacy is </w:t>
      </w:r>
      <w:r>
        <w:rPr>
          <w:rFonts w:ascii="Calibri" w:hAnsi="Calibri"/>
        </w:rPr>
        <w:t>greatest</w:t>
      </w:r>
      <w:r w:rsidRPr="00FA4F4D">
        <w:rPr>
          <w:rFonts w:ascii="Calibri" w:hAnsi="Calibri"/>
        </w:rPr>
        <w:t xml:space="preserve"> in the </w:t>
      </w:r>
      <w:r>
        <w:rPr>
          <w:rFonts w:ascii="Calibri" w:hAnsi="Calibri"/>
        </w:rPr>
        <w:t xml:space="preserve">metropolitan </w:t>
      </w:r>
      <w:r w:rsidRPr="00FA4F4D">
        <w:rPr>
          <w:rFonts w:ascii="Calibri" w:hAnsi="Calibri"/>
        </w:rPr>
        <w:t>suburbs to the north and west, and in the southeast – in the latter instance, concentrated in, and around, Greater Dandenong.</w:t>
      </w:r>
    </w:p>
    <w:p w14:paraId="1B9C6CA0" w14:textId="77777777" w:rsidR="00F207ED" w:rsidRPr="002A2E7D" w:rsidRDefault="00F207ED" w:rsidP="00F207ED">
      <w:pPr>
        <w:spacing w:line="360" w:lineRule="auto"/>
        <w:jc w:val="both"/>
        <w:rPr>
          <w:rFonts w:ascii="Calibri" w:hAnsi="Calibri"/>
          <w:sz w:val="8"/>
          <w:szCs w:val="8"/>
        </w:rPr>
      </w:pPr>
    </w:p>
    <w:p w14:paraId="5AFFF5D0" w14:textId="77777777" w:rsidR="00F207ED" w:rsidRDefault="002F7D63" w:rsidP="00F207ED">
      <w:pPr>
        <w:rPr>
          <w:rFonts w:ascii="Calibri" w:hAnsi="Calibri"/>
          <w:color w:val="808080"/>
          <w:sz w:val="20"/>
          <w:szCs w:val="20"/>
        </w:rPr>
      </w:pPr>
      <w:r w:rsidRPr="00053790">
        <w:rPr>
          <w:noProof/>
          <w:color w:val="7F7F7F" w:themeColor="text1" w:themeTint="80"/>
          <w:lang w:eastAsia="en-AU"/>
        </w:rPr>
        <w:drawing>
          <wp:anchor distT="0" distB="0" distL="114300" distR="114300" simplePos="0" relativeHeight="251655680" behindDoc="1" locked="0" layoutInCell="1" allowOverlap="1" wp14:anchorId="160A685A" wp14:editId="2851F2C7">
            <wp:simplePos x="0" y="0"/>
            <wp:positionH relativeFrom="column">
              <wp:posOffset>85725</wp:posOffset>
            </wp:positionH>
            <wp:positionV relativeFrom="paragraph">
              <wp:posOffset>245110</wp:posOffset>
            </wp:positionV>
            <wp:extent cx="5975985" cy="6892925"/>
            <wp:effectExtent l="0" t="0" r="5715" b="3175"/>
            <wp:wrapTight wrapText="bothSides">
              <wp:wrapPolygon edited="0">
                <wp:start x="0" y="0"/>
                <wp:lineTo x="0" y="21550"/>
                <wp:lineTo x="21552" y="21550"/>
                <wp:lineTo x="21552" y="0"/>
                <wp:lineTo x="0" y="0"/>
              </wp:wrapPolygon>
            </wp:wrapTight>
            <wp:docPr id="6" name="Picture 8" descr="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teracy"/>
                    <pic:cNvPicPr>
                      <a:picLocks noChangeAspect="1" noChangeArrowheads="1"/>
                    </pic:cNvPicPr>
                  </pic:nvPicPr>
                  <pic:blipFill>
                    <a:blip r:embed="rId12" cstate="print">
                      <a:extLst>
                        <a:ext uri="{28A0092B-C50C-407E-A947-70E740481C1C}">
                          <a14:useLocalDpi xmlns:a14="http://schemas.microsoft.com/office/drawing/2010/main" val="0"/>
                        </a:ext>
                      </a:extLst>
                    </a:blip>
                    <a:srcRect l="1793" t="12494" r="2959" b="1987"/>
                    <a:stretch>
                      <a:fillRect/>
                    </a:stretch>
                  </pic:blipFill>
                  <pic:spPr bwMode="auto">
                    <a:xfrm>
                      <a:off x="0" y="0"/>
                      <a:ext cx="5975985" cy="689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207ED" w:rsidRPr="00053790">
        <w:rPr>
          <w:rFonts w:ascii="Calibri" w:hAnsi="Calibri"/>
          <w:color w:val="7F7F7F" w:themeColor="text1" w:themeTint="80"/>
          <w:sz w:val="20"/>
          <w:szCs w:val="20"/>
        </w:rPr>
        <w:t xml:space="preserve">Estimated per cent of Residents </w:t>
      </w:r>
      <w:r w:rsidR="00053790" w:rsidRPr="00053790">
        <w:rPr>
          <w:rFonts w:ascii="Calibri" w:hAnsi="Calibri"/>
          <w:color w:val="7F7F7F" w:themeColor="text1" w:themeTint="80"/>
          <w:sz w:val="20"/>
          <w:szCs w:val="20"/>
        </w:rPr>
        <w:t>with Limited English Literacy</w:t>
      </w:r>
      <w:r w:rsidR="00F207ED" w:rsidRPr="00053790">
        <w:rPr>
          <w:rFonts w:ascii="Calibri" w:hAnsi="Calibri"/>
          <w:color w:val="7F7F7F" w:themeColor="text1" w:themeTint="80"/>
          <w:sz w:val="20"/>
          <w:szCs w:val="20"/>
        </w:rPr>
        <w:t>: 2006</w:t>
      </w:r>
    </w:p>
    <w:p w14:paraId="2886158A" w14:textId="77777777" w:rsidR="00834D75" w:rsidRDefault="00834D75" w:rsidP="00F207ED">
      <w:pPr>
        <w:rPr>
          <w:rFonts w:ascii="Calibri" w:hAnsi="Calibri"/>
          <w:color w:val="808080"/>
          <w:sz w:val="20"/>
          <w:szCs w:val="20"/>
        </w:rPr>
      </w:pPr>
    </w:p>
    <w:p w14:paraId="3AF514F7" w14:textId="77777777" w:rsidR="002A2E7D" w:rsidRDefault="002A2E7D">
      <w:pPr>
        <w:rPr>
          <w:rFonts w:ascii="Calibri" w:hAnsi="Calibri"/>
          <w:color w:val="808080"/>
          <w:sz w:val="20"/>
          <w:szCs w:val="20"/>
        </w:rPr>
      </w:pPr>
      <w:r>
        <w:rPr>
          <w:rFonts w:ascii="Calibri" w:hAnsi="Calibri"/>
          <w:color w:val="808080"/>
          <w:sz w:val="20"/>
          <w:szCs w:val="20"/>
        </w:rPr>
        <w:br w:type="page"/>
      </w:r>
    </w:p>
    <w:p w14:paraId="67322CA8" w14:textId="77777777" w:rsidR="00834D75" w:rsidRPr="00834D75" w:rsidRDefault="00834D75" w:rsidP="00834D75">
      <w:pPr>
        <w:pBdr>
          <w:top w:val="single" w:sz="4" w:space="1" w:color="0F243E"/>
        </w:pBdr>
        <w:spacing w:line="360" w:lineRule="auto"/>
        <w:ind w:right="2834"/>
        <w:jc w:val="both"/>
        <w:rPr>
          <w:rFonts w:ascii="Calibri" w:hAnsi="Calibri"/>
          <w:b/>
          <w:color w:val="17365D"/>
        </w:rPr>
      </w:pPr>
      <w:r>
        <w:rPr>
          <w:rFonts w:ascii="Calibri" w:hAnsi="Calibri"/>
          <w:b/>
          <w:color w:val="17365D"/>
        </w:rPr>
        <w:t>Literacy in Languages Spoken at Home</w:t>
      </w:r>
    </w:p>
    <w:p w14:paraId="0AE81C93" w14:textId="77777777" w:rsidR="00834D75" w:rsidRDefault="002F7D63" w:rsidP="00F207ED">
      <w:pPr>
        <w:rPr>
          <w:rFonts w:ascii="Calibri" w:hAnsi="Calibri"/>
          <w:color w:val="808080"/>
          <w:sz w:val="20"/>
          <w:szCs w:val="20"/>
        </w:rPr>
      </w:pPr>
      <w:r>
        <w:rPr>
          <w:rFonts w:ascii="Calibri" w:hAnsi="Calibri"/>
          <w:noProof/>
          <w:color w:val="000000"/>
          <w:lang w:eastAsia="en-AU"/>
        </w:rPr>
        <w:drawing>
          <wp:anchor distT="0" distB="0" distL="114300" distR="114300" simplePos="0" relativeHeight="251657728" behindDoc="1" locked="0" layoutInCell="1" allowOverlap="1" wp14:anchorId="6ADB8AF7" wp14:editId="036F1B4C">
            <wp:simplePos x="0" y="0"/>
            <wp:positionH relativeFrom="column">
              <wp:posOffset>1744345</wp:posOffset>
            </wp:positionH>
            <wp:positionV relativeFrom="paragraph">
              <wp:posOffset>138430</wp:posOffset>
            </wp:positionV>
            <wp:extent cx="4370070" cy="5181600"/>
            <wp:effectExtent l="0" t="0" r="0" b="0"/>
            <wp:wrapTight wrapText="bothSides">
              <wp:wrapPolygon edited="0">
                <wp:start x="0" y="0"/>
                <wp:lineTo x="0" y="21521"/>
                <wp:lineTo x="21468" y="21521"/>
                <wp:lineTo x="21468"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0070" cy="518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CEA54" w14:textId="77777777" w:rsidR="00834D75" w:rsidRDefault="00834D75" w:rsidP="00834D75">
      <w:pPr>
        <w:tabs>
          <w:tab w:val="left" w:pos="284"/>
        </w:tabs>
        <w:spacing w:before="60" w:line="360" w:lineRule="auto"/>
        <w:jc w:val="both"/>
        <w:rPr>
          <w:rFonts w:ascii="Calibri" w:hAnsi="Calibri"/>
          <w:color w:val="000000"/>
        </w:rPr>
      </w:pPr>
      <w:r>
        <w:rPr>
          <w:rFonts w:ascii="Calibri" w:hAnsi="Calibri"/>
          <w:color w:val="000000"/>
        </w:rPr>
        <w:t xml:space="preserve">Estimates based upon the findings of the 2011 Census coupled with documented levels of literacy in a variety of nations, indicate that the rate </w:t>
      </w:r>
      <w:r w:rsidR="002E387D">
        <w:rPr>
          <w:rFonts w:ascii="Calibri" w:hAnsi="Calibri"/>
          <w:color w:val="000000"/>
        </w:rPr>
        <w:t xml:space="preserve">of </w:t>
      </w:r>
      <w:r>
        <w:rPr>
          <w:rFonts w:ascii="Calibri" w:hAnsi="Calibri"/>
          <w:color w:val="000000"/>
        </w:rPr>
        <w:t xml:space="preserve">literacy among residents of Greater Dandenong, in their spoken languages, may vary widely - from nearly 100% among speakers of Russian, Sinhalese, Turkish, Italian, Greek and others, to 50% or less among </w:t>
      </w:r>
      <w:r w:rsidR="002E387D">
        <w:rPr>
          <w:rFonts w:ascii="Calibri" w:hAnsi="Calibri"/>
          <w:color w:val="000000"/>
        </w:rPr>
        <w:t>those who speak</w:t>
      </w:r>
      <w:r>
        <w:rPr>
          <w:rFonts w:ascii="Calibri" w:hAnsi="Calibri"/>
          <w:color w:val="000000"/>
        </w:rPr>
        <w:t xml:space="preserve"> Amharic, Dari and Hazaraghi </w:t>
      </w:r>
      <w:r w:rsidR="002E387D">
        <w:rPr>
          <w:rFonts w:ascii="Calibri" w:hAnsi="Calibri"/>
          <w:color w:val="000000"/>
        </w:rPr>
        <w:t xml:space="preserve">in their homes </w:t>
      </w:r>
      <w:r>
        <w:rPr>
          <w:rFonts w:ascii="Calibri" w:hAnsi="Calibri"/>
          <w:color w:val="000000"/>
        </w:rPr>
        <w:t>(illustration at right).</w:t>
      </w:r>
    </w:p>
    <w:p w14:paraId="6FD65175" w14:textId="77777777" w:rsidR="00834D75" w:rsidRPr="008A02CD" w:rsidRDefault="00AA6410" w:rsidP="00834D75">
      <w:pPr>
        <w:tabs>
          <w:tab w:val="left" w:pos="284"/>
        </w:tabs>
        <w:spacing w:before="60" w:line="360" w:lineRule="auto"/>
        <w:jc w:val="both"/>
        <w:rPr>
          <w:rFonts w:ascii="Calibri" w:hAnsi="Calibri"/>
          <w:color w:val="000000"/>
        </w:rPr>
      </w:pPr>
      <w:r>
        <w:rPr>
          <w:rFonts w:ascii="Calibri" w:hAnsi="Calibri"/>
          <w:color w:val="000000"/>
        </w:rPr>
        <w:t>It should be cautioned though, that these figures are estimates only, based upon the limited information available.</w:t>
      </w:r>
    </w:p>
    <w:sectPr w:rsidR="00834D75" w:rsidRPr="008A02CD" w:rsidSect="00D002B4">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B4"/>
    <w:rsid w:val="000526CD"/>
    <w:rsid w:val="00053790"/>
    <w:rsid w:val="0007061F"/>
    <w:rsid w:val="00071BA2"/>
    <w:rsid w:val="00134B2D"/>
    <w:rsid w:val="002A2E7D"/>
    <w:rsid w:val="002E387D"/>
    <w:rsid w:val="002E624B"/>
    <w:rsid w:val="002F7D63"/>
    <w:rsid w:val="003562F6"/>
    <w:rsid w:val="003C2828"/>
    <w:rsid w:val="003C74A6"/>
    <w:rsid w:val="00425300"/>
    <w:rsid w:val="004E0E6D"/>
    <w:rsid w:val="00584EC5"/>
    <w:rsid w:val="005B3ACB"/>
    <w:rsid w:val="00661241"/>
    <w:rsid w:val="006E45D0"/>
    <w:rsid w:val="006F0D43"/>
    <w:rsid w:val="00834D75"/>
    <w:rsid w:val="008C4528"/>
    <w:rsid w:val="00951892"/>
    <w:rsid w:val="00AA6410"/>
    <w:rsid w:val="00AD1ECA"/>
    <w:rsid w:val="00C874CB"/>
    <w:rsid w:val="00CE65D7"/>
    <w:rsid w:val="00D002B4"/>
    <w:rsid w:val="00E245ED"/>
    <w:rsid w:val="00E72CA9"/>
    <w:rsid w:val="00F207ED"/>
    <w:rsid w:val="00FA5F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EBEC"/>
  <w15:docId w15:val="{019483CC-6B93-41E6-91E8-B2246117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FF9"/>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624B"/>
    <w:rPr>
      <w:rFonts w:ascii="Tahoma" w:hAnsi="Tahoma" w:cs="Tahoma"/>
      <w:sz w:val="16"/>
      <w:szCs w:val="16"/>
    </w:rPr>
  </w:style>
  <w:style w:type="character" w:customStyle="1" w:styleId="BalloonTextChar">
    <w:name w:val="Balloon Text Char"/>
    <w:basedOn w:val="DefaultParagraphFont"/>
    <w:link w:val="BalloonText"/>
    <w:uiPriority w:val="99"/>
    <w:semiHidden/>
    <w:rsid w:val="002E624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5.emf" Id="rId8" /><Relationship Type="http://schemas.openxmlformats.org/officeDocument/2006/relationships/image" Target="media/image10.emf" Id="rId13" /><Relationship Type="http://schemas.openxmlformats.org/officeDocument/2006/relationships/webSettings" Target="webSettings.xml" Id="rId3" /><Relationship Type="http://schemas.openxmlformats.org/officeDocument/2006/relationships/image" Target="media/image4.jpeg" Id="rId7" /><Relationship Type="http://schemas.openxmlformats.org/officeDocument/2006/relationships/image" Target="media/image9.jpeg"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3.emf" Id="rId6" /><Relationship Type="http://schemas.openxmlformats.org/officeDocument/2006/relationships/image" Target="media/image8.emf" Id="rId11" /><Relationship Type="http://schemas.openxmlformats.org/officeDocument/2006/relationships/image" Target="media/image2.jpeg" Id="rId5" /><Relationship Type="http://schemas.openxmlformats.org/officeDocument/2006/relationships/theme" Target="theme/theme1.xml" Id="rId15" /><Relationship Type="http://schemas.openxmlformats.org/officeDocument/2006/relationships/image" Target="media/image7.emf" Id="rId10" /><Relationship Type="http://schemas.openxmlformats.org/officeDocument/2006/relationships/image" Target="media/image1.emf" Id="rId4" /><Relationship Type="http://schemas.openxmlformats.org/officeDocument/2006/relationships/image" Target="media/image6.emf" Id="rId9" /><Relationship Type="http://schemas.openxmlformats.org/officeDocument/2006/relationships/fontTable" Target="fontTable.xml" Id="rId14" /><Relationship Type="http://schemas.openxmlformats.org/officeDocument/2006/relationships/customXml" Target="/customXml/item.xml" Id="Rf48d2d46adc5437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A8955739</value>
    </field>
    <field name="Objective-Title">
      <value order="0">Rates of Limited English Literacy, by Age and Gender</value>
    </field>
    <field name="Objective-Description">
      <value order="0"/>
    </field>
    <field name="Objective-CreationStamp">
      <value order="0">2022-07-23T11:26:02Z</value>
    </field>
    <field name="Objective-IsApproved">
      <value order="0">false</value>
    </field>
    <field name="Objective-IsPublished">
      <value order="0">true</value>
    </field>
    <field name="Objective-DatePublished">
      <value order="0">2022-07-23T11:30:19Z</value>
    </field>
    <field name="Objective-ModificationStamp">
      <value order="0">2023-05-16T01:59:45Z</value>
    </field>
    <field name="Objective-Owner">
      <value order="0">Hayden Brown</value>
    </field>
    <field name="Objective-Path">
      <value order="0">Classified Object:Classified Object:Classified Object:Census Themes Z 2011</value>
    </field>
    <field name="Objective-Parent">
      <value order="0">Census Themes Z 2011</value>
    </field>
    <field name="Objective-State">
      <value order="0">Published</value>
    </field>
    <field name="Objective-VersionId">
      <value order="0">vA11447336</value>
    </field>
    <field name="Objective-Version">
      <value order="0">1.0</value>
    </field>
    <field name="Objective-VersionNumber">
      <value order="0">1</value>
    </field>
    <field name="Objective-VersionComment">
      <value order="0">First version</value>
    </field>
    <field name="Objective-FileNumber">
      <value order="0">qA268988</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hbrown</dc:creator>
  <cp:lastModifiedBy>Hayden Brown</cp:lastModifiedBy>
  <cp:revision>2</cp:revision>
  <cp:lastPrinted>2015-02-08T22:05:00Z</cp:lastPrinted>
  <dcterms:created xsi:type="dcterms:W3CDTF">2022-07-22T09:51:00Z</dcterms:created>
  <dcterms:modified xsi:type="dcterms:W3CDTF">2022-07-22T09:51:00Z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A8955739</vt:lpwstr>
  </op:property>
  <op:property fmtid="{D5CDD505-2E9C-101B-9397-08002B2CF9AE}" pid="4" name="Objective-Title">
    <vt:lpwstr xmlns:vt="http://schemas.openxmlformats.org/officeDocument/2006/docPropsVTypes">Rates of Limited English Literacy, by Age and Gender</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2022-07-23T11:26:02Z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2022-07-23T11:30:19Z</vt:filetime>
  </op:property>
  <op:property fmtid="{D5CDD505-2E9C-101B-9397-08002B2CF9AE}" pid="10" name="Objective-ModificationStamp">
    <vt:filetime xmlns:vt="http://schemas.openxmlformats.org/officeDocument/2006/docPropsVTypes">2023-05-16T01:59:45Z</vt:filetime>
  </op:property>
  <op:property fmtid="{D5CDD505-2E9C-101B-9397-08002B2CF9AE}" pid="11" name="Objective-Owner">
    <vt:lpwstr xmlns:vt="http://schemas.openxmlformats.org/officeDocument/2006/docPropsVTypes">Hayden Brown</vt:lpwstr>
  </op:property>
  <op:property fmtid="{D5CDD505-2E9C-101B-9397-08002B2CF9AE}" pid="12" name="Objective-Path">
    <vt:lpwstr xmlns:vt="http://schemas.openxmlformats.org/officeDocument/2006/docPropsVTypes">Classified Object:Classified Object:Classified Object:Census Themes Z 2011</vt:lpwstr>
  </op:property>
  <op:property fmtid="{D5CDD505-2E9C-101B-9397-08002B2CF9AE}" pid="13" name="Objective-Parent">
    <vt:lpwstr xmlns:vt="http://schemas.openxmlformats.org/officeDocument/2006/docPropsVTypes">Census Themes Z 2011</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vA11447336</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First version</vt:lpwstr>
  </op:property>
  <op:property fmtid="{D5CDD505-2E9C-101B-9397-08002B2CF9AE}" pid="19" name="Objective-FileNumber">
    <vt:lpwstr xmlns:vt="http://schemas.openxmlformats.org/officeDocument/2006/docPropsVTypes">qA268988</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