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BDD80" w14:textId="77777777" w:rsidR="008A6B53" w:rsidRPr="000907B7" w:rsidRDefault="008A6B53" w:rsidP="008A6B53">
      <w:pPr>
        <w:pBdr>
          <w:top w:val="single" w:sz="4" w:space="0" w:color="auto"/>
          <w:bottom w:val="single" w:sz="4" w:space="1" w:color="auto"/>
        </w:pBdr>
        <w:tabs>
          <w:tab w:val="center" w:pos="4678"/>
        </w:tabs>
        <w:jc w:val="center"/>
        <w:rPr>
          <w:rFonts w:ascii="Calibri" w:hAnsi="Calibri"/>
          <w:noProof/>
          <w:sz w:val="32"/>
          <w:szCs w:val="32"/>
          <w:lang w:val="en-AU"/>
        </w:rPr>
      </w:pPr>
      <w:r w:rsidRPr="000907B7">
        <w:rPr>
          <w:rFonts w:ascii="Calibri" w:hAnsi="Calibri"/>
          <w:noProof/>
          <w:sz w:val="32"/>
          <w:szCs w:val="32"/>
          <w:lang w:val="en-AU"/>
        </w:rPr>
        <w:t>Incomes</w:t>
      </w:r>
      <w:r>
        <w:rPr>
          <w:rFonts w:ascii="Calibri" w:hAnsi="Calibri"/>
          <w:noProof/>
          <w:sz w:val="32"/>
          <w:szCs w:val="32"/>
          <w:lang w:val="en-AU"/>
        </w:rPr>
        <w:t xml:space="preserve"> and Financial Disadvantage</w:t>
      </w:r>
    </w:p>
    <w:p w14:paraId="01DD7409" w14:textId="77777777" w:rsidR="008A6B53" w:rsidRPr="00F10793" w:rsidRDefault="008A6B53" w:rsidP="008A6B53">
      <w:pPr>
        <w:tabs>
          <w:tab w:val="left" w:pos="4962"/>
        </w:tabs>
        <w:spacing w:before="60" w:after="60"/>
        <w:jc w:val="right"/>
        <w:rPr>
          <w:rFonts w:ascii="Calibri" w:hAnsi="Calibri"/>
          <w:noProof/>
          <w:sz w:val="20"/>
          <w:szCs w:val="20"/>
        </w:rPr>
      </w:pPr>
      <w:r w:rsidRPr="00F10793">
        <w:rPr>
          <w:rFonts w:ascii="Calibri" w:hAnsi="Calibri"/>
          <w:noProof/>
          <w:sz w:val="20"/>
          <w:szCs w:val="20"/>
          <w:lang w:val="en-AU" w:eastAsia="en-AU"/>
        </w:rPr>
        <w:drawing>
          <wp:anchor distT="0" distB="0" distL="114300" distR="114300" simplePos="0" relativeHeight="251662336" behindDoc="1" locked="0" layoutInCell="1" allowOverlap="1" wp14:anchorId="08CC1DBB" wp14:editId="199D54FF">
            <wp:simplePos x="0" y="0"/>
            <wp:positionH relativeFrom="column">
              <wp:posOffset>-91440</wp:posOffset>
            </wp:positionH>
            <wp:positionV relativeFrom="paragraph">
              <wp:posOffset>21590</wp:posOffset>
            </wp:positionV>
            <wp:extent cx="1097280" cy="1631315"/>
            <wp:effectExtent l="0" t="0" r="7620" b="6985"/>
            <wp:wrapTight wrapText="bothSides">
              <wp:wrapPolygon edited="0">
                <wp:start x="1500" y="0"/>
                <wp:lineTo x="0" y="504"/>
                <wp:lineTo x="0" y="20684"/>
                <wp:lineTo x="750" y="21440"/>
                <wp:lineTo x="1500" y="21440"/>
                <wp:lineTo x="19875" y="21440"/>
                <wp:lineTo x="20625" y="21440"/>
                <wp:lineTo x="21375" y="20684"/>
                <wp:lineTo x="21375" y="504"/>
                <wp:lineTo x="19875" y="0"/>
                <wp:lineTo x="1500" y="0"/>
              </wp:wrapPolygon>
            </wp:wrapTight>
            <wp:docPr id="88" name="Picture 87" descr="lady with shoppingImage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y with shoppingImage5559.jpg"/>
                    <pic:cNvPicPr/>
                  </pic:nvPicPr>
                  <pic:blipFill>
                    <a:blip r:embed="rId8" cstate="print"/>
                    <a:srcRect l="12790" r="18331" b="32854"/>
                    <a:stretch>
                      <a:fillRect/>
                    </a:stretch>
                  </pic:blipFill>
                  <pic:spPr>
                    <a:xfrm>
                      <a:off x="0" y="0"/>
                      <a:ext cx="1097280" cy="16313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10793">
        <w:rPr>
          <w:rFonts w:ascii="Calibri" w:hAnsi="Calibri"/>
          <w:noProof/>
          <w:color w:val="7F7F7F"/>
          <w:sz w:val="20"/>
          <w:szCs w:val="20"/>
        </w:rPr>
        <w:t>Median Incomes: Greater Dandenong &amp; metro Melbourne, 2006 &amp; 2016</w:t>
      </w:r>
    </w:p>
    <w:p w14:paraId="27B92C67" w14:textId="77777777" w:rsidR="008A6B53" w:rsidRPr="00624E66" w:rsidRDefault="008A6B53" w:rsidP="008A6B53">
      <w:pPr>
        <w:tabs>
          <w:tab w:val="left" w:pos="4962"/>
        </w:tabs>
        <w:spacing w:line="360" w:lineRule="auto"/>
        <w:jc w:val="both"/>
        <w:rPr>
          <w:rFonts w:ascii="Calibri" w:hAnsi="Calibri"/>
          <w:noProof/>
          <w:color w:val="7F7F7F"/>
          <w:sz w:val="20"/>
          <w:szCs w:val="20"/>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43D267BE" wp14:editId="79E2CB32">
            <wp:simplePos x="0" y="0"/>
            <wp:positionH relativeFrom="margin">
              <wp:align>right</wp:align>
            </wp:positionH>
            <wp:positionV relativeFrom="paragraph">
              <wp:posOffset>3175</wp:posOffset>
            </wp:positionV>
            <wp:extent cx="3190240" cy="209994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a:extLst>
                        <a:ext uri="{28A0092B-C50C-407E-A947-70E740481C1C}">
                          <a14:useLocalDpi xmlns:a14="http://schemas.microsoft.com/office/drawing/2010/main" val="0"/>
                        </a:ext>
                      </a:extLst>
                    </a:blip>
                    <a:srcRect t="12825" r="3629" b="4178"/>
                    <a:stretch>
                      <a:fillRect/>
                    </a:stretch>
                  </pic:blipFill>
                  <pic:spPr bwMode="auto">
                    <a:xfrm>
                      <a:off x="0" y="0"/>
                      <a:ext cx="3190240" cy="2099945"/>
                    </a:xfrm>
                    <a:prstGeom prst="rect">
                      <a:avLst/>
                    </a:prstGeom>
                    <a:noFill/>
                  </pic:spPr>
                </pic:pic>
              </a:graphicData>
            </a:graphic>
            <wp14:sizeRelH relativeFrom="page">
              <wp14:pctWidth>0</wp14:pctWidth>
            </wp14:sizeRelH>
            <wp14:sizeRelV relativeFrom="page">
              <wp14:pctHeight>0</wp14:pctHeight>
            </wp14:sizeRelV>
          </wp:anchor>
        </w:drawing>
      </w:r>
      <w:r w:rsidRPr="00C341FE">
        <w:rPr>
          <w:rFonts w:ascii="Calibri" w:hAnsi="Calibri"/>
          <w:color w:val="000000"/>
          <w:sz w:val="22"/>
          <w:szCs w:val="22"/>
        </w:rPr>
        <w:t>In 201</w:t>
      </w:r>
      <w:r>
        <w:rPr>
          <w:rFonts w:ascii="Calibri" w:hAnsi="Calibri"/>
          <w:color w:val="000000"/>
          <w:sz w:val="22"/>
          <w:szCs w:val="22"/>
        </w:rPr>
        <w:t>6</w:t>
      </w:r>
      <w:r w:rsidRPr="00C341FE">
        <w:rPr>
          <w:rFonts w:ascii="Calibri" w:hAnsi="Calibri"/>
          <w:color w:val="000000"/>
          <w:sz w:val="22"/>
          <w:szCs w:val="22"/>
        </w:rPr>
        <w:t xml:space="preserve">, the median individual weekly </w:t>
      </w:r>
      <w:r>
        <w:rPr>
          <w:rFonts w:ascii="Calibri" w:hAnsi="Calibri"/>
          <w:color w:val="000000"/>
          <w:sz w:val="22"/>
          <w:szCs w:val="22"/>
        </w:rPr>
        <w:t xml:space="preserve">gross </w:t>
      </w:r>
      <w:r w:rsidRPr="00C341FE">
        <w:rPr>
          <w:rFonts w:ascii="Calibri" w:hAnsi="Calibri"/>
          <w:color w:val="000000"/>
          <w:sz w:val="22"/>
          <w:szCs w:val="22"/>
        </w:rPr>
        <w:t>income in Greater Dandenong stood at $</w:t>
      </w:r>
      <w:r>
        <w:rPr>
          <w:rFonts w:ascii="Calibri" w:hAnsi="Calibri"/>
          <w:color w:val="000000"/>
          <w:sz w:val="22"/>
          <w:szCs w:val="22"/>
        </w:rPr>
        <w:t>476</w:t>
      </w:r>
      <w:r w:rsidRPr="00C341FE">
        <w:rPr>
          <w:rFonts w:ascii="Calibri" w:hAnsi="Calibri"/>
          <w:color w:val="000000"/>
          <w:sz w:val="22"/>
          <w:szCs w:val="22"/>
        </w:rPr>
        <w:t xml:space="preserve"> – the lowest level in Melbourne. </w:t>
      </w:r>
      <w:r w:rsidRPr="00C341FE">
        <w:rPr>
          <w:rFonts w:ascii="Calibri" w:hAnsi="Calibri"/>
          <w:color w:val="000000"/>
          <w:sz w:val="22"/>
          <w:szCs w:val="22"/>
          <w:lang w:val="en-AU"/>
        </w:rPr>
        <w:t xml:space="preserve">In the </w:t>
      </w:r>
      <w:r>
        <w:rPr>
          <w:rFonts w:ascii="Calibri" w:hAnsi="Calibri"/>
          <w:color w:val="000000"/>
          <w:sz w:val="22"/>
          <w:szCs w:val="22"/>
          <w:lang w:val="en-AU"/>
        </w:rPr>
        <w:t>decade</w:t>
      </w:r>
      <w:r w:rsidRPr="00C341FE">
        <w:rPr>
          <w:rFonts w:ascii="Calibri" w:hAnsi="Calibri"/>
          <w:color w:val="000000"/>
          <w:sz w:val="22"/>
          <w:szCs w:val="22"/>
          <w:lang w:val="en-AU"/>
        </w:rPr>
        <w:t xml:space="preserve"> to 201</w:t>
      </w:r>
      <w:r>
        <w:rPr>
          <w:rFonts w:ascii="Calibri" w:hAnsi="Calibri"/>
          <w:color w:val="000000"/>
          <w:sz w:val="22"/>
          <w:szCs w:val="22"/>
          <w:lang w:val="en-AU"/>
        </w:rPr>
        <w:t>6</w:t>
      </w:r>
      <w:r w:rsidRPr="00C341FE">
        <w:rPr>
          <w:rFonts w:ascii="Calibri" w:hAnsi="Calibri"/>
          <w:color w:val="000000"/>
          <w:sz w:val="22"/>
          <w:szCs w:val="22"/>
          <w:lang w:val="en-AU"/>
        </w:rPr>
        <w:t xml:space="preserve">, individual incomes </w:t>
      </w:r>
      <w:r>
        <w:rPr>
          <w:rFonts w:ascii="Calibri" w:hAnsi="Calibri"/>
          <w:color w:val="000000"/>
          <w:sz w:val="22"/>
          <w:szCs w:val="22"/>
          <w:lang w:val="en-AU"/>
        </w:rPr>
        <w:t>in Greater Dandenong have remained at approximately 70% of</w:t>
      </w:r>
      <w:r w:rsidRPr="00C341FE">
        <w:rPr>
          <w:rFonts w:ascii="Calibri" w:hAnsi="Calibri"/>
          <w:color w:val="000000"/>
          <w:sz w:val="22"/>
          <w:szCs w:val="22"/>
          <w:lang w:val="en-AU"/>
        </w:rPr>
        <w:t xml:space="preserve"> metropolitan </w:t>
      </w:r>
      <w:r>
        <w:rPr>
          <w:rFonts w:ascii="Calibri" w:hAnsi="Calibri"/>
          <w:color w:val="000000"/>
          <w:sz w:val="22"/>
          <w:szCs w:val="22"/>
          <w:lang w:val="en-AU"/>
        </w:rPr>
        <w:t xml:space="preserve">levels. </w:t>
      </w:r>
    </w:p>
    <w:p w14:paraId="05E92891" w14:textId="77777777" w:rsidR="008A6B53" w:rsidRPr="00624E66" w:rsidRDefault="008A6B53" w:rsidP="008A6B53">
      <w:pPr>
        <w:tabs>
          <w:tab w:val="left" w:pos="284"/>
        </w:tabs>
        <w:jc w:val="both"/>
        <w:rPr>
          <w:rFonts w:ascii="Calibri" w:hAnsi="Calibri"/>
          <w:color w:val="000000"/>
          <w:sz w:val="10"/>
          <w:szCs w:val="10"/>
          <w:lang w:val="en-AU"/>
        </w:rPr>
      </w:pPr>
    </w:p>
    <w:p w14:paraId="5CC5EF2F" w14:textId="77777777" w:rsidR="008A6B53" w:rsidRPr="00F10793" w:rsidRDefault="008A6B53" w:rsidP="008A6B53">
      <w:pPr>
        <w:tabs>
          <w:tab w:val="left" w:pos="284"/>
        </w:tabs>
        <w:jc w:val="both"/>
        <w:rPr>
          <w:rFonts w:ascii="Calibri" w:hAnsi="Calibri"/>
          <w:color w:val="7F7F7F"/>
          <w:sz w:val="20"/>
          <w:szCs w:val="20"/>
          <w:lang w:val="en-AU"/>
        </w:rPr>
      </w:pPr>
      <w:r w:rsidRPr="00F10793">
        <w:rPr>
          <w:rFonts w:ascii="Calibri" w:hAnsi="Calibri"/>
          <w:noProof/>
          <w:color w:val="000000"/>
          <w:sz w:val="20"/>
          <w:szCs w:val="20"/>
          <w:lang w:val="en-AU" w:eastAsia="en-AU"/>
        </w:rPr>
        <w:drawing>
          <wp:anchor distT="0" distB="0" distL="114300" distR="114300" simplePos="0" relativeHeight="251660288" behindDoc="0" locked="0" layoutInCell="1" allowOverlap="1" wp14:anchorId="0C9A41F1" wp14:editId="14E068EF">
            <wp:simplePos x="0" y="0"/>
            <wp:positionH relativeFrom="column">
              <wp:posOffset>0</wp:posOffset>
            </wp:positionH>
            <wp:positionV relativeFrom="paragraph">
              <wp:posOffset>169545</wp:posOffset>
            </wp:positionV>
            <wp:extent cx="3375025" cy="2320290"/>
            <wp:effectExtent l="0" t="0" r="0" b="381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b="3651"/>
                    <a:stretch>
                      <a:fillRect/>
                    </a:stretch>
                  </pic:blipFill>
                  <pic:spPr bwMode="auto">
                    <a:xfrm>
                      <a:off x="0" y="0"/>
                      <a:ext cx="3375025" cy="2320290"/>
                    </a:xfrm>
                    <a:prstGeom prst="rect">
                      <a:avLst/>
                    </a:prstGeom>
                    <a:noFill/>
                  </pic:spPr>
                </pic:pic>
              </a:graphicData>
            </a:graphic>
            <wp14:sizeRelH relativeFrom="page">
              <wp14:pctWidth>0</wp14:pctWidth>
            </wp14:sizeRelH>
            <wp14:sizeRelV relativeFrom="page">
              <wp14:pctHeight>0</wp14:pctHeight>
            </wp14:sizeRelV>
          </wp:anchor>
        </w:drawing>
      </w:r>
      <w:r w:rsidRPr="00F10793">
        <w:rPr>
          <w:rFonts w:ascii="Calibri" w:hAnsi="Calibri"/>
          <w:color w:val="7F7F7F"/>
          <w:sz w:val="20"/>
          <w:szCs w:val="20"/>
          <w:lang w:val="en-AU"/>
        </w:rPr>
        <w:t>Median Incomes by Sex: Greater Dandenong, 2016</w:t>
      </w:r>
    </w:p>
    <w:p w14:paraId="3075B3DE" w14:textId="77777777" w:rsidR="008A6B53" w:rsidRDefault="008A6B53" w:rsidP="008A6B53">
      <w:pPr>
        <w:tabs>
          <w:tab w:val="left" w:pos="284"/>
        </w:tabs>
        <w:spacing w:before="60" w:line="360" w:lineRule="auto"/>
        <w:jc w:val="both"/>
        <w:rPr>
          <w:rFonts w:ascii="Calibri" w:hAnsi="Calibri"/>
          <w:color w:val="000000"/>
          <w:sz w:val="22"/>
          <w:szCs w:val="22"/>
          <w:lang w:val="en-AU"/>
        </w:rPr>
      </w:pPr>
      <w:r w:rsidRPr="00C341FE">
        <w:rPr>
          <w:rFonts w:ascii="Calibri" w:hAnsi="Calibri"/>
          <w:color w:val="000000"/>
          <w:sz w:val="22"/>
          <w:szCs w:val="22"/>
          <w:lang w:val="en-AU"/>
        </w:rPr>
        <w:t>At $</w:t>
      </w:r>
      <w:r>
        <w:rPr>
          <w:rFonts w:ascii="Calibri" w:hAnsi="Calibri"/>
          <w:color w:val="000000"/>
          <w:sz w:val="22"/>
          <w:szCs w:val="22"/>
          <w:lang w:val="en-AU"/>
        </w:rPr>
        <w:t>616</w:t>
      </w:r>
      <w:r w:rsidRPr="00C341FE">
        <w:rPr>
          <w:rFonts w:ascii="Calibri" w:hAnsi="Calibri"/>
          <w:color w:val="000000"/>
          <w:sz w:val="22"/>
          <w:szCs w:val="22"/>
          <w:lang w:val="en-AU"/>
        </w:rPr>
        <w:t xml:space="preserve"> per week, income</w:t>
      </w:r>
      <w:r>
        <w:rPr>
          <w:rFonts w:ascii="Calibri" w:hAnsi="Calibri"/>
          <w:color w:val="000000"/>
          <w:sz w:val="22"/>
          <w:szCs w:val="22"/>
          <w:lang w:val="en-AU"/>
        </w:rPr>
        <w:t>s</w:t>
      </w:r>
      <w:r w:rsidRPr="00C341FE">
        <w:rPr>
          <w:rFonts w:ascii="Calibri" w:hAnsi="Calibri"/>
          <w:color w:val="000000"/>
          <w:sz w:val="22"/>
          <w:szCs w:val="22"/>
          <w:lang w:val="en-AU"/>
        </w:rPr>
        <w:t xml:space="preserve"> among males</w:t>
      </w:r>
      <w:r>
        <w:rPr>
          <w:rFonts w:ascii="Calibri" w:hAnsi="Calibri"/>
          <w:color w:val="000000"/>
          <w:sz w:val="22"/>
          <w:szCs w:val="22"/>
          <w:lang w:val="en-AU"/>
        </w:rPr>
        <w:t xml:space="preserve"> aged 15-64 years in Greater Dandenong</w:t>
      </w:r>
      <w:r w:rsidRPr="00C341FE">
        <w:rPr>
          <w:rFonts w:ascii="Calibri" w:hAnsi="Calibri"/>
          <w:color w:val="000000"/>
          <w:sz w:val="22"/>
          <w:szCs w:val="22"/>
          <w:lang w:val="en-AU"/>
        </w:rPr>
        <w:t xml:space="preserve"> were </w:t>
      </w:r>
      <w:r>
        <w:rPr>
          <w:rFonts w:ascii="Calibri" w:hAnsi="Calibri"/>
          <w:color w:val="000000"/>
          <w:sz w:val="22"/>
          <w:szCs w:val="22"/>
          <w:lang w:val="en-AU"/>
        </w:rPr>
        <w:t>53%</w:t>
      </w:r>
      <w:r w:rsidRPr="00C341FE">
        <w:rPr>
          <w:rFonts w:ascii="Calibri" w:hAnsi="Calibri"/>
          <w:color w:val="000000"/>
          <w:sz w:val="22"/>
          <w:szCs w:val="22"/>
          <w:lang w:val="en-AU"/>
        </w:rPr>
        <w:t xml:space="preserve"> higher than those for females, at $</w:t>
      </w:r>
      <w:r>
        <w:rPr>
          <w:rFonts w:ascii="Calibri" w:hAnsi="Calibri"/>
          <w:color w:val="000000"/>
          <w:sz w:val="22"/>
          <w:szCs w:val="22"/>
          <w:lang w:val="en-AU"/>
        </w:rPr>
        <w:t>403</w:t>
      </w:r>
      <w:r w:rsidRPr="00C341FE">
        <w:rPr>
          <w:rFonts w:ascii="Calibri" w:hAnsi="Calibri"/>
          <w:color w:val="000000"/>
          <w:sz w:val="22"/>
          <w:szCs w:val="22"/>
          <w:lang w:val="en-AU"/>
        </w:rPr>
        <w:t xml:space="preserve">. The disparity between female and male income levels in Greater Dandenong was most </w:t>
      </w:r>
      <w:r>
        <w:rPr>
          <w:rFonts w:ascii="Calibri" w:hAnsi="Calibri"/>
          <w:color w:val="000000"/>
          <w:sz w:val="22"/>
          <w:szCs w:val="22"/>
          <w:lang w:val="en-AU"/>
        </w:rPr>
        <w:t>prominent</w:t>
      </w:r>
      <w:r w:rsidRPr="00C341FE">
        <w:rPr>
          <w:rFonts w:ascii="Calibri" w:hAnsi="Calibri"/>
          <w:color w:val="000000"/>
          <w:sz w:val="22"/>
          <w:szCs w:val="22"/>
          <w:lang w:val="en-AU"/>
        </w:rPr>
        <w:t xml:space="preserve"> among residents of working age</w:t>
      </w:r>
      <w:r>
        <w:rPr>
          <w:rFonts w:ascii="Calibri" w:hAnsi="Calibri"/>
          <w:color w:val="000000"/>
          <w:sz w:val="22"/>
          <w:szCs w:val="22"/>
          <w:lang w:val="en-AU"/>
        </w:rPr>
        <w:t xml:space="preserve"> (diagram, left)</w:t>
      </w:r>
      <w:r w:rsidRPr="00C341FE">
        <w:rPr>
          <w:rFonts w:ascii="Calibri" w:hAnsi="Calibri"/>
          <w:color w:val="000000"/>
          <w:sz w:val="22"/>
          <w:szCs w:val="22"/>
          <w:lang w:val="en-AU"/>
        </w:rPr>
        <w:t>.</w:t>
      </w:r>
    </w:p>
    <w:p w14:paraId="2E8224AA" w14:textId="77777777" w:rsidR="008A6B53" w:rsidRDefault="008A6B53" w:rsidP="008A6B53">
      <w:pPr>
        <w:tabs>
          <w:tab w:val="left" w:pos="284"/>
        </w:tabs>
        <w:rPr>
          <w:rFonts w:ascii="Calibri" w:hAnsi="Calibri"/>
          <w:color w:val="000000"/>
          <w:sz w:val="22"/>
          <w:szCs w:val="22"/>
          <w:lang w:val="en-AU"/>
        </w:rPr>
      </w:pPr>
    </w:p>
    <w:p w14:paraId="51C55F81" w14:textId="77777777" w:rsidR="008A6B53" w:rsidRDefault="008A6B53" w:rsidP="008A6B53">
      <w:pPr>
        <w:tabs>
          <w:tab w:val="left" w:pos="284"/>
        </w:tabs>
        <w:rPr>
          <w:rFonts w:ascii="Calibri" w:hAnsi="Calibri"/>
          <w:color w:val="000000"/>
          <w:sz w:val="22"/>
          <w:szCs w:val="22"/>
          <w:lang w:val="en-AU"/>
        </w:rPr>
      </w:pPr>
      <w:r>
        <w:rPr>
          <w:rFonts w:ascii="Calibri" w:hAnsi="Calibri"/>
          <w:noProof/>
          <w:color w:val="000000"/>
          <w:sz w:val="22"/>
          <w:szCs w:val="22"/>
          <w:lang w:val="en-AU" w:eastAsia="en-AU"/>
        </w:rPr>
        <w:drawing>
          <wp:anchor distT="0" distB="0" distL="114300" distR="114300" simplePos="0" relativeHeight="251661312" behindDoc="0" locked="0" layoutInCell="1" allowOverlap="1" wp14:anchorId="00265D03" wp14:editId="5ACAFACE">
            <wp:simplePos x="0" y="0"/>
            <wp:positionH relativeFrom="margin">
              <wp:align>right</wp:align>
            </wp:positionH>
            <wp:positionV relativeFrom="paragraph">
              <wp:posOffset>267970</wp:posOffset>
            </wp:positionV>
            <wp:extent cx="2876550" cy="4199255"/>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
                      <a:extLst>
                        <a:ext uri="{28A0092B-C50C-407E-A947-70E740481C1C}">
                          <a14:useLocalDpi xmlns:a14="http://schemas.microsoft.com/office/drawing/2010/main" val="0"/>
                        </a:ext>
                      </a:extLst>
                    </a:blip>
                    <a:srcRect t="1845" r="2553"/>
                    <a:stretch>
                      <a:fillRect/>
                    </a:stretch>
                  </pic:blipFill>
                  <pic:spPr bwMode="auto">
                    <a:xfrm>
                      <a:off x="0" y="0"/>
                      <a:ext cx="2876550" cy="4199255"/>
                    </a:xfrm>
                    <a:prstGeom prst="rect">
                      <a:avLst/>
                    </a:prstGeom>
                    <a:noFill/>
                  </pic:spPr>
                </pic:pic>
              </a:graphicData>
            </a:graphic>
            <wp14:sizeRelH relativeFrom="page">
              <wp14:pctWidth>0</wp14:pctWidth>
            </wp14:sizeRelH>
            <wp14:sizeRelV relativeFrom="page">
              <wp14:pctHeight>0</wp14:pctHeight>
            </wp14:sizeRelV>
          </wp:anchor>
        </w:drawing>
      </w:r>
    </w:p>
    <w:p w14:paraId="1BEDB839" w14:textId="77777777" w:rsidR="008A6B53" w:rsidRDefault="008A6B53" w:rsidP="008A6B53">
      <w:pPr>
        <w:tabs>
          <w:tab w:val="left" w:pos="284"/>
        </w:tabs>
        <w:rPr>
          <w:rFonts w:ascii="Calibri" w:hAnsi="Calibri"/>
          <w:color w:val="7F7F7F"/>
          <w:sz w:val="20"/>
          <w:szCs w:val="20"/>
          <w:lang w:val="en-AU"/>
        </w:rPr>
      </w:pPr>
    </w:p>
    <w:p w14:paraId="09C12CD1" w14:textId="77777777" w:rsidR="008A6B53" w:rsidRDefault="008A6B53" w:rsidP="008A6B53">
      <w:pPr>
        <w:tabs>
          <w:tab w:val="left" w:pos="284"/>
        </w:tabs>
        <w:rPr>
          <w:rFonts w:ascii="Calibri" w:hAnsi="Calibri"/>
          <w:color w:val="7F7F7F"/>
          <w:sz w:val="20"/>
          <w:szCs w:val="20"/>
          <w:lang w:val="en-AU"/>
        </w:rPr>
      </w:pPr>
    </w:p>
    <w:p w14:paraId="52E0F3B0" w14:textId="77777777" w:rsidR="008A6B53" w:rsidRPr="00F10793" w:rsidRDefault="008A6B53" w:rsidP="008A6B53">
      <w:pPr>
        <w:tabs>
          <w:tab w:val="left" w:pos="284"/>
        </w:tabs>
        <w:rPr>
          <w:rFonts w:ascii="Calibri" w:hAnsi="Calibri"/>
          <w:color w:val="7F7F7F"/>
          <w:sz w:val="20"/>
          <w:szCs w:val="20"/>
          <w:lang w:val="en-AU"/>
        </w:rPr>
      </w:pPr>
      <w:r w:rsidRPr="00F10793">
        <w:rPr>
          <w:rFonts w:ascii="Calibri" w:hAnsi="Calibri"/>
          <w:color w:val="7F7F7F"/>
          <w:sz w:val="20"/>
          <w:szCs w:val="20"/>
          <w:lang w:val="en-AU"/>
        </w:rPr>
        <w:t>Median Income by Gender and Selected Birthplaces: Persons aged 25-64, Greater Dandenong, 2016</w:t>
      </w:r>
    </w:p>
    <w:p w14:paraId="1AF195C2" w14:textId="77777777" w:rsidR="008A6B53" w:rsidRDefault="008A6B53" w:rsidP="008A6B53">
      <w:pPr>
        <w:tabs>
          <w:tab w:val="left" w:pos="284"/>
        </w:tabs>
        <w:jc w:val="both"/>
        <w:rPr>
          <w:rFonts w:ascii="Calibri" w:hAnsi="Calibri"/>
          <w:color w:val="000000"/>
          <w:sz w:val="22"/>
          <w:szCs w:val="22"/>
        </w:rPr>
      </w:pPr>
    </w:p>
    <w:p w14:paraId="410AFFC1" w14:textId="77777777" w:rsidR="008A6B53" w:rsidRDefault="008A6B53" w:rsidP="008A6B53">
      <w:pPr>
        <w:tabs>
          <w:tab w:val="left" w:pos="284"/>
        </w:tabs>
        <w:spacing w:before="60" w:line="360" w:lineRule="auto"/>
        <w:jc w:val="both"/>
        <w:rPr>
          <w:rFonts w:ascii="Calibri" w:hAnsi="Calibri"/>
          <w:color w:val="000000"/>
          <w:sz w:val="22"/>
          <w:szCs w:val="22"/>
        </w:rPr>
      </w:pPr>
      <w:r w:rsidRPr="00C341FE">
        <w:rPr>
          <w:rFonts w:ascii="Calibri" w:hAnsi="Calibri"/>
          <w:color w:val="000000"/>
          <w:sz w:val="22"/>
          <w:szCs w:val="22"/>
        </w:rPr>
        <w:t xml:space="preserve">Income levels also vary widely </w:t>
      </w:r>
      <w:r>
        <w:rPr>
          <w:rFonts w:ascii="Calibri" w:hAnsi="Calibri"/>
          <w:color w:val="000000"/>
          <w:sz w:val="22"/>
          <w:szCs w:val="22"/>
        </w:rPr>
        <w:t>by birthplace</w:t>
      </w:r>
      <w:r w:rsidRPr="00C341FE">
        <w:rPr>
          <w:rFonts w:ascii="Calibri" w:hAnsi="Calibri"/>
          <w:color w:val="000000"/>
          <w:sz w:val="22"/>
          <w:szCs w:val="22"/>
        </w:rPr>
        <w:t>. Among residents</w:t>
      </w:r>
      <w:r>
        <w:rPr>
          <w:rFonts w:ascii="Calibri" w:hAnsi="Calibri"/>
          <w:color w:val="000000"/>
          <w:sz w:val="22"/>
          <w:szCs w:val="22"/>
        </w:rPr>
        <w:t xml:space="preserve"> aged 25 to 64</w:t>
      </w:r>
      <w:r w:rsidRPr="00C341FE">
        <w:rPr>
          <w:rFonts w:ascii="Calibri" w:hAnsi="Calibri"/>
          <w:color w:val="000000"/>
          <w:sz w:val="22"/>
          <w:szCs w:val="22"/>
        </w:rPr>
        <w:t>, income</w:t>
      </w:r>
      <w:r>
        <w:rPr>
          <w:rFonts w:ascii="Calibri" w:hAnsi="Calibri"/>
          <w:color w:val="000000"/>
          <w:sz w:val="22"/>
          <w:szCs w:val="22"/>
        </w:rPr>
        <w:t>s</w:t>
      </w:r>
      <w:r w:rsidRPr="00C341FE">
        <w:rPr>
          <w:rFonts w:ascii="Calibri" w:hAnsi="Calibri"/>
          <w:color w:val="000000"/>
          <w:sz w:val="22"/>
          <w:szCs w:val="22"/>
        </w:rPr>
        <w:t xml:space="preserve"> </w:t>
      </w:r>
      <w:r>
        <w:rPr>
          <w:rFonts w:ascii="Calibri" w:hAnsi="Calibri"/>
          <w:color w:val="000000"/>
          <w:sz w:val="22"/>
          <w:szCs w:val="22"/>
        </w:rPr>
        <w:t>ranged from</w:t>
      </w:r>
      <w:r w:rsidRPr="00C341FE">
        <w:rPr>
          <w:rFonts w:ascii="Calibri" w:hAnsi="Calibri"/>
          <w:color w:val="000000"/>
          <w:sz w:val="22"/>
          <w:szCs w:val="22"/>
        </w:rPr>
        <w:t xml:space="preserve"> $</w:t>
      </w:r>
      <w:r>
        <w:rPr>
          <w:rFonts w:ascii="Calibri" w:hAnsi="Calibri"/>
          <w:color w:val="000000"/>
          <w:sz w:val="22"/>
          <w:szCs w:val="22"/>
        </w:rPr>
        <w:t>786 among those born in Australia</w:t>
      </w:r>
      <w:r w:rsidRPr="00C341FE">
        <w:rPr>
          <w:rFonts w:ascii="Calibri" w:hAnsi="Calibri"/>
          <w:color w:val="000000"/>
          <w:sz w:val="22"/>
          <w:szCs w:val="22"/>
        </w:rPr>
        <w:t xml:space="preserve">, </w:t>
      </w:r>
      <w:r>
        <w:rPr>
          <w:rFonts w:ascii="Calibri" w:hAnsi="Calibri"/>
          <w:color w:val="000000"/>
          <w:sz w:val="22"/>
          <w:szCs w:val="22"/>
        </w:rPr>
        <w:t>to</w:t>
      </w:r>
      <w:r w:rsidRPr="00C341FE">
        <w:rPr>
          <w:rFonts w:ascii="Calibri" w:hAnsi="Calibri"/>
          <w:color w:val="000000"/>
          <w:sz w:val="22"/>
          <w:szCs w:val="22"/>
        </w:rPr>
        <w:t xml:space="preserve"> $</w:t>
      </w:r>
      <w:r>
        <w:rPr>
          <w:rFonts w:ascii="Calibri" w:hAnsi="Calibri"/>
          <w:color w:val="000000"/>
          <w:sz w:val="22"/>
          <w:szCs w:val="22"/>
        </w:rPr>
        <w:t>298</w:t>
      </w:r>
      <w:r w:rsidRPr="00C341FE">
        <w:rPr>
          <w:rFonts w:ascii="Calibri" w:hAnsi="Calibri"/>
          <w:color w:val="000000"/>
          <w:sz w:val="22"/>
          <w:szCs w:val="22"/>
        </w:rPr>
        <w:t xml:space="preserve"> among those from </w:t>
      </w:r>
      <w:r>
        <w:rPr>
          <w:rFonts w:ascii="Calibri" w:hAnsi="Calibri"/>
          <w:color w:val="000000"/>
          <w:sz w:val="22"/>
          <w:szCs w:val="22"/>
        </w:rPr>
        <w:t>Burma.</w:t>
      </w:r>
    </w:p>
    <w:p w14:paraId="5E026581" w14:textId="77777777" w:rsidR="008A6B53" w:rsidRPr="00F10793"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Notable disparities between female and male incomes were present also. Among residents from Pakistan, Afghanistan and Bangladesh, male incomes were over three times the female levels, while among residents from Iraq and Burma female and male incomes were similar – perhaps due to the high rates of unemployment among these residents.</w:t>
      </w:r>
    </w:p>
    <w:p w14:paraId="1CFCF044" w14:textId="77777777" w:rsidR="008A6B53" w:rsidRPr="00632FB4" w:rsidRDefault="008A6B53" w:rsidP="008A6B53">
      <w:pPr>
        <w:tabs>
          <w:tab w:val="num" w:pos="720"/>
        </w:tabs>
        <w:spacing w:line="360" w:lineRule="auto"/>
        <w:jc w:val="both"/>
        <w:rPr>
          <w:rFonts w:ascii="Calibri" w:hAnsi="Calibri"/>
          <w:b/>
          <w:color w:val="000000"/>
          <w:sz w:val="22"/>
          <w:szCs w:val="22"/>
        </w:rPr>
      </w:pPr>
      <w:r>
        <w:rPr>
          <w:rFonts w:ascii="Calibri" w:hAnsi="Calibri"/>
          <w:noProof/>
          <w:color w:val="000000"/>
          <w:sz w:val="22"/>
          <w:szCs w:val="22"/>
          <w:lang w:val="en-AU" w:eastAsia="en-AU"/>
        </w:rPr>
        <w:lastRenderedPageBreak/>
        <w:drawing>
          <wp:anchor distT="0" distB="0" distL="114300" distR="114300" simplePos="0" relativeHeight="251664384" behindDoc="0" locked="0" layoutInCell="1" allowOverlap="1" wp14:anchorId="38048BF3" wp14:editId="2179CCB6">
            <wp:simplePos x="0" y="0"/>
            <wp:positionH relativeFrom="column">
              <wp:posOffset>3942080</wp:posOffset>
            </wp:positionH>
            <wp:positionV relativeFrom="paragraph">
              <wp:posOffset>203835</wp:posOffset>
            </wp:positionV>
            <wp:extent cx="2146935" cy="1101725"/>
            <wp:effectExtent l="0" t="0" r="571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e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935" cy="1101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32FB4">
        <w:rPr>
          <w:rFonts w:ascii="Calibri" w:hAnsi="Calibri"/>
          <w:b/>
          <w:color w:val="000000"/>
          <w:sz w:val="22"/>
          <w:szCs w:val="22"/>
        </w:rPr>
        <w:t>Geographic Distribution of Incomes</w:t>
      </w:r>
    </w:p>
    <w:p w14:paraId="2E9A117C" w14:textId="77777777" w:rsidR="008A6B53" w:rsidRDefault="008A6B53" w:rsidP="008A6B53">
      <w:pPr>
        <w:tabs>
          <w:tab w:val="num" w:pos="720"/>
        </w:tabs>
        <w:spacing w:line="360" w:lineRule="auto"/>
        <w:jc w:val="both"/>
        <w:rPr>
          <w:rFonts w:ascii="Calibri" w:hAnsi="Calibri"/>
          <w:color w:val="000000"/>
          <w:sz w:val="22"/>
          <w:szCs w:val="22"/>
        </w:rPr>
      </w:pPr>
      <w:r>
        <w:rPr>
          <w:rFonts w:ascii="Calibri" w:hAnsi="Calibri"/>
          <w:color w:val="000000"/>
          <w:sz w:val="22"/>
          <w:szCs w:val="22"/>
        </w:rPr>
        <w:t>The distribution of incomes is illustrated in the map, below. Regions with the lower median individual income levels – illustrated in the pale shades – are largely situated in the north, west and southeast of Melbourne, including Greater Dandenong and adjoining portions of neighboring Frankston, Casey and Monash.</w:t>
      </w:r>
    </w:p>
    <w:p w14:paraId="679D7F09" w14:textId="77777777" w:rsidR="008A6B53" w:rsidRDefault="008A6B53" w:rsidP="008A6B53">
      <w:pPr>
        <w:tabs>
          <w:tab w:val="num" w:pos="720"/>
        </w:tabs>
        <w:spacing w:line="360" w:lineRule="auto"/>
        <w:jc w:val="both"/>
        <w:rPr>
          <w:rFonts w:ascii="Calibri" w:hAnsi="Calibri"/>
          <w:color w:val="000000"/>
          <w:sz w:val="22"/>
          <w:szCs w:val="22"/>
        </w:rPr>
      </w:pPr>
    </w:p>
    <w:p w14:paraId="201F76EE" w14:textId="77777777" w:rsidR="008A6B53" w:rsidRPr="00632FB4" w:rsidRDefault="008A6B53" w:rsidP="008A6B53">
      <w:pPr>
        <w:tabs>
          <w:tab w:val="num" w:pos="720"/>
        </w:tabs>
        <w:jc w:val="both"/>
        <w:rPr>
          <w:rFonts w:ascii="Calibri" w:hAnsi="Calibri"/>
          <w:color w:val="7F7F7F"/>
          <w:sz w:val="20"/>
          <w:szCs w:val="20"/>
        </w:rPr>
      </w:pPr>
      <w:r w:rsidRPr="00632FB4">
        <w:rPr>
          <w:rFonts w:ascii="Calibri" w:hAnsi="Calibri"/>
          <w:color w:val="7F7F7F"/>
          <w:sz w:val="20"/>
          <w:szCs w:val="20"/>
        </w:rPr>
        <w:t>Median Weekly Individual Incomes: metropolitan Melbourne, 2016</w:t>
      </w:r>
    </w:p>
    <w:p w14:paraId="72224932" w14:textId="77777777" w:rsidR="008A6B53" w:rsidRDefault="008A6B53" w:rsidP="008A6B53">
      <w:pPr>
        <w:tabs>
          <w:tab w:val="num" w:pos="720"/>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inline distT="0" distB="0" distL="0" distR="0" wp14:anchorId="58AF1704" wp14:editId="5012D76F">
            <wp:extent cx="6098540" cy="6997065"/>
            <wp:effectExtent l="0" t="0" r="0" b="0"/>
            <wp:docPr id="1" name="Picture 1" descr="M Individual Inc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 Individual Income ($)"/>
                    <pic:cNvPicPr>
                      <a:picLocks noChangeAspect="1" noChangeArrowheads="1"/>
                    </pic:cNvPicPr>
                  </pic:nvPicPr>
                  <pic:blipFill>
                    <a:blip r:embed="rId13" cstate="print">
                      <a:extLst>
                        <a:ext uri="{28A0092B-C50C-407E-A947-70E740481C1C}">
                          <a14:useLocalDpi xmlns:a14="http://schemas.microsoft.com/office/drawing/2010/main" val="0"/>
                        </a:ext>
                      </a:extLst>
                    </a:blip>
                    <a:srcRect l="2209" t="16081" r="1950" b="6078"/>
                    <a:stretch>
                      <a:fillRect/>
                    </a:stretch>
                  </pic:blipFill>
                  <pic:spPr bwMode="auto">
                    <a:xfrm>
                      <a:off x="0" y="0"/>
                      <a:ext cx="6098540" cy="6997065"/>
                    </a:xfrm>
                    <a:prstGeom prst="rect">
                      <a:avLst/>
                    </a:prstGeom>
                    <a:ln>
                      <a:noFill/>
                    </a:ln>
                    <a:effectLst>
                      <a:softEdge rad="112500"/>
                    </a:effectLst>
                  </pic:spPr>
                </pic:pic>
              </a:graphicData>
            </a:graphic>
          </wp:inline>
        </w:drawing>
      </w:r>
    </w:p>
    <w:p w14:paraId="285F00F8" w14:textId="77777777" w:rsidR="008A6B53" w:rsidRDefault="008A6B53" w:rsidP="008A6B53">
      <w:pPr>
        <w:tabs>
          <w:tab w:val="left" w:pos="284"/>
        </w:tabs>
        <w:jc w:val="both"/>
        <w:rPr>
          <w:rFonts w:ascii="Calibri" w:hAnsi="Calibri"/>
          <w:b/>
          <w:color w:val="000000" w:themeColor="text1"/>
        </w:rPr>
      </w:pPr>
    </w:p>
    <w:p w14:paraId="5FB50308" w14:textId="77777777" w:rsidR="008A6B53" w:rsidRPr="00667774" w:rsidRDefault="008A6B53" w:rsidP="008A6B53">
      <w:pPr>
        <w:tabs>
          <w:tab w:val="left" w:pos="284"/>
        </w:tabs>
        <w:jc w:val="both"/>
        <w:rPr>
          <w:rFonts w:ascii="Calibri" w:hAnsi="Calibri"/>
          <w:b/>
          <w:color w:val="000000" w:themeColor="text1"/>
        </w:rPr>
      </w:pPr>
      <w:r w:rsidRPr="00667774">
        <w:rPr>
          <w:rFonts w:ascii="Calibri" w:hAnsi="Calibri"/>
          <w:b/>
          <w:color w:val="000000" w:themeColor="text1"/>
        </w:rPr>
        <w:lastRenderedPageBreak/>
        <w:t>Centrelink Support</w:t>
      </w:r>
    </w:p>
    <w:p w14:paraId="3E423B0C" w14:textId="77777777" w:rsidR="008A6B53" w:rsidRPr="00813A66" w:rsidRDefault="008A6B53" w:rsidP="008A6B53">
      <w:pPr>
        <w:tabs>
          <w:tab w:val="left" w:pos="284"/>
        </w:tabs>
        <w:spacing w:before="60" w:line="360" w:lineRule="auto"/>
        <w:jc w:val="both"/>
        <w:rPr>
          <w:rFonts w:ascii="Calibri" w:hAnsi="Calibri"/>
          <w:color w:val="000000"/>
          <w:sz w:val="22"/>
          <w:szCs w:val="22"/>
        </w:rPr>
      </w:pPr>
      <w:r w:rsidRPr="00813A66">
        <w:rPr>
          <w:rFonts w:ascii="Calibri" w:hAnsi="Calibri"/>
          <w:color w:val="000000"/>
          <w:sz w:val="22"/>
          <w:szCs w:val="22"/>
        </w:rPr>
        <w:t>In June 20</w:t>
      </w:r>
      <w:r>
        <w:rPr>
          <w:rFonts w:ascii="Calibri" w:hAnsi="Calibri"/>
          <w:color w:val="000000"/>
          <w:sz w:val="22"/>
          <w:szCs w:val="22"/>
        </w:rPr>
        <w:t>20</w:t>
      </w:r>
      <w:r w:rsidRPr="00813A66">
        <w:rPr>
          <w:rFonts w:ascii="Calibri" w:hAnsi="Calibri"/>
          <w:color w:val="000000"/>
          <w:sz w:val="22"/>
          <w:szCs w:val="22"/>
        </w:rPr>
        <w:t xml:space="preserve">, </w:t>
      </w:r>
      <w:r>
        <w:rPr>
          <w:rFonts w:ascii="Calibri" w:hAnsi="Calibri"/>
          <w:color w:val="000000"/>
          <w:sz w:val="22"/>
          <w:szCs w:val="22"/>
        </w:rPr>
        <w:t>12</w:t>
      </w:r>
      <w:r w:rsidRPr="00813A66">
        <w:rPr>
          <w:rFonts w:ascii="Calibri" w:hAnsi="Calibri"/>
          <w:color w:val="000000"/>
          <w:sz w:val="22"/>
          <w:szCs w:val="22"/>
        </w:rPr>
        <w:t xml:space="preserve">% of Greater Dandenong residents held a Health Care Card – the third highest dependency upon such support in metropolitan Melbourne and substantially more than the metropolitan level of </w:t>
      </w:r>
      <w:r>
        <w:rPr>
          <w:rFonts w:ascii="Calibri" w:hAnsi="Calibri"/>
          <w:color w:val="000000"/>
          <w:sz w:val="22"/>
          <w:szCs w:val="22"/>
        </w:rPr>
        <w:t>7.9</w:t>
      </w:r>
      <w:r w:rsidRPr="00813A66">
        <w:rPr>
          <w:rFonts w:ascii="Calibri" w:hAnsi="Calibri"/>
          <w:color w:val="000000"/>
          <w:sz w:val="22"/>
          <w:szCs w:val="22"/>
        </w:rPr>
        <w:t>%, reflecting extensive financial hardship.</w:t>
      </w:r>
    </w:p>
    <w:p w14:paraId="0DE01FD7" w14:textId="77777777" w:rsidR="008A6B53"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More than one-fifth (22%)</w:t>
      </w:r>
      <w:r w:rsidRPr="00813A66">
        <w:rPr>
          <w:rFonts w:ascii="Calibri" w:hAnsi="Calibri"/>
          <w:color w:val="000000"/>
          <w:sz w:val="22"/>
          <w:szCs w:val="22"/>
        </w:rPr>
        <w:t xml:space="preserve"> of occupied dwellings in Greater Dandenong attract rental assistance payments, the highest level in Melbourne and </w:t>
      </w:r>
      <w:r>
        <w:rPr>
          <w:rFonts w:ascii="Calibri" w:hAnsi="Calibri"/>
          <w:color w:val="000000"/>
          <w:sz w:val="22"/>
          <w:szCs w:val="22"/>
        </w:rPr>
        <w:t>substantially more than</w:t>
      </w:r>
      <w:r w:rsidRPr="00813A66">
        <w:rPr>
          <w:rFonts w:ascii="Calibri" w:hAnsi="Calibri"/>
          <w:color w:val="000000"/>
          <w:sz w:val="22"/>
          <w:szCs w:val="22"/>
        </w:rPr>
        <w:t xml:space="preserve"> the metropolitan average of </w:t>
      </w:r>
      <w:r>
        <w:rPr>
          <w:rFonts w:ascii="Calibri" w:hAnsi="Calibri"/>
          <w:color w:val="000000"/>
          <w:sz w:val="22"/>
          <w:szCs w:val="22"/>
        </w:rPr>
        <w:t>14</w:t>
      </w:r>
      <w:r w:rsidRPr="00813A66">
        <w:rPr>
          <w:rFonts w:ascii="Calibri" w:hAnsi="Calibri"/>
          <w:color w:val="000000"/>
          <w:sz w:val="22"/>
          <w:szCs w:val="22"/>
        </w:rPr>
        <w:t>%.</w:t>
      </w:r>
    </w:p>
    <w:p w14:paraId="6A3244D5" w14:textId="77777777" w:rsidR="008A6B53" w:rsidRPr="00813A66"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The 2020 Centrelink payments also revealed a high level of dependency of older local residents upon the aged pension, with the number of residents relying on this payment equal to 69% of the number of residents aged 65 years or more – the highest level in Melbourne and higher than the metropolitan ratio of 55%.</w:t>
      </w:r>
    </w:p>
    <w:p w14:paraId="25879565" w14:textId="77777777" w:rsidR="008A6B53" w:rsidRPr="00813A66" w:rsidRDefault="008A6B53" w:rsidP="008A6B53">
      <w:pPr>
        <w:tabs>
          <w:tab w:val="left" w:pos="284"/>
        </w:tabs>
        <w:spacing w:before="60" w:line="360" w:lineRule="auto"/>
        <w:jc w:val="both"/>
        <w:rPr>
          <w:rFonts w:ascii="Calibri" w:hAnsi="Calibri"/>
          <w:color w:val="000000"/>
          <w:sz w:val="22"/>
          <w:szCs w:val="22"/>
        </w:rPr>
      </w:pPr>
      <w:r w:rsidRPr="00813A66">
        <w:rPr>
          <w:rFonts w:ascii="Calibri" w:hAnsi="Calibri"/>
          <w:color w:val="000000"/>
          <w:sz w:val="22"/>
          <w:szCs w:val="22"/>
        </w:rPr>
        <w:t>The table below sets out a selection of ratios between the relevant population and the number of Centrelink beneficiaries in mid-20</w:t>
      </w:r>
      <w:r>
        <w:rPr>
          <w:rFonts w:ascii="Calibri" w:hAnsi="Calibri"/>
          <w:color w:val="000000"/>
          <w:sz w:val="22"/>
          <w:szCs w:val="22"/>
        </w:rPr>
        <w:t>20</w:t>
      </w:r>
      <w:r w:rsidRPr="00813A66">
        <w:rPr>
          <w:rFonts w:ascii="Calibri" w:hAnsi="Calibri"/>
          <w:color w:val="000000"/>
          <w:sz w:val="22"/>
          <w:szCs w:val="22"/>
        </w:rPr>
        <w:t>, confirming the level of dependence of various segments of the local population upon pensions and benefits, including older, disabled and unemployed people, and families facing financial difficulties.</w:t>
      </w:r>
    </w:p>
    <w:p w14:paraId="5D7AFA63" w14:textId="77777777" w:rsidR="008A6B53" w:rsidRDefault="008A6B53" w:rsidP="008A6B53">
      <w:pPr>
        <w:tabs>
          <w:tab w:val="left" w:pos="284"/>
        </w:tabs>
        <w:spacing w:before="60" w:line="360" w:lineRule="auto"/>
        <w:jc w:val="both"/>
        <w:rPr>
          <w:rFonts w:ascii="Calibri" w:hAnsi="Calibri"/>
          <w:color w:val="000000"/>
        </w:rPr>
      </w:pPr>
    </w:p>
    <w:tbl>
      <w:tblPr>
        <w:tblW w:w="8560" w:type="dxa"/>
        <w:tblInd w:w="108" w:type="dxa"/>
        <w:tblLook w:val="04A0" w:firstRow="1" w:lastRow="0" w:firstColumn="1" w:lastColumn="0" w:noHBand="0" w:noVBand="1"/>
      </w:tblPr>
      <w:tblGrid>
        <w:gridCol w:w="5116"/>
        <w:gridCol w:w="1564"/>
        <w:gridCol w:w="516"/>
        <w:gridCol w:w="1564"/>
      </w:tblGrid>
      <w:tr w:rsidR="008A6B53" w14:paraId="337A17C6" w14:textId="77777777" w:rsidTr="009043E5">
        <w:trPr>
          <w:trHeight w:val="285"/>
        </w:trPr>
        <w:tc>
          <w:tcPr>
            <w:tcW w:w="4916" w:type="dxa"/>
            <w:tcBorders>
              <w:top w:val="nil"/>
              <w:left w:val="nil"/>
              <w:bottom w:val="nil"/>
              <w:right w:val="nil"/>
            </w:tcBorders>
            <w:shd w:val="clear" w:color="auto" w:fill="auto"/>
            <w:noWrap/>
            <w:vAlign w:val="bottom"/>
            <w:hideMark/>
          </w:tcPr>
          <w:p w14:paraId="51E498BB" w14:textId="77777777" w:rsidR="008A6B53" w:rsidRDefault="008A6B53" w:rsidP="009043E5">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4900"/>
            </w:tblGrid>
            <w:tr w:rsidR="008A6B53" w14:paraId="04F0202A" w14:textId="77777777" w:rsidTr="009043E5">
              <w:trPr>
                <w:trHeight w:val="285"/>
                <w:tblCellSpacing w:w="0" w:type="dxa"/>
              </w:trPr>
              <w:tc>
                <w:tcPr>
                  <w:tcW w:w="4900" w:type="dxa"/>
                  <w:tcBorders>
                    <w:top w:val="nil"/>
                    <w:left w:val="nil"/>
                    <w:bottom w:val="nil"/>
                    <w:right w:val="nil"/>
                  </w:tcBorders>
                  <w:shd w:val="clear" w:color="auto" w:fill="auto"/>
                  <w:noWrap/>
                  <w:vAlign w:val="bottom"/>
                  <w:hideMark/>
                </w:tcPr>
                <w:p w14:paraId="49C425EF" w14:textId="77777777" w:rsidR="008A6B53" w:rsidRDefault="008A6B53" w:rsidP="009043E5">
                  <w:pPr>
                    <w:rPr>
                      <w:rFonts w:ascii="Calibri" w:hAnsi="Calibri" w:cs="Calibri"/>
                      <w:color w:val="000000"/>
                      <w:sz w:val="22"/>
                      <w:szCs w:val="22"/>
                    </w:rPr>
                  </w:pPr>
                </w:p>
              </w:tc>
            </w:tr>
          </w:tbl>
          <w:p w14:paraId="0B0E92AC" w14:textId="77777777" w:rsidR="008A6B53" w:rsidRDefault="008A6B53" w:rsidP="009043E5">
            <w:pPr>
              <w:rPr>
                <w:rFonts w:ascii="Calibri" w:hAnsi="Calibri" w:cs="Calibri"/>
                <w:color w:val="000000"/>
                <w:sz w:val="22"/>
                <w:szCs w:val="22"/>
              </w:rPr>
            </w:pPr>
          </w:p>
        </w:tc>
        <w:tc>
          <w:tcPr>
            <w:tcW w:w="1564" w:type="dxa"/>
            <w:vMerge w:val="restart"/>
            <w:tcBorders>
              <w:top w:val="nil"/>
              <w:left w:val="nil"/>
              <w:bottom w:val="nil"/>
              <w:right w:val="nil"/>
            </w:tcBorders>
            <w:shd w:val="clear" w:color="000000" w:fill="632523"/>
            <w:vAlign w:val="center"/>
            <w:hideMark/>
          </w:tcPr>
          <w:p w14:paraId="491D98CA" w14:textId="77777777" w:rsidR="008A6B53" w:rsidRDefault="008A6B53" w:rsidP="009043E5">
            <w:pPr>
              <w:jc w:val="center"/>
              <w:rPr>
                <w:rFonts w:ascii="Garamond" w:hAnsi="Garamond" w:cs="Calibri"/>
                <w:color w:val="FFFFFF"/>
                <w:sz w:val="16"/>
                <w:szCs w:val="16"/>
              </w:rPr>
            </w:pPr>
            <w:r>
              <w:rPr>
                <w:rFonts w:ascii="Garamond" w:hAnsi="Garamond" w:cs="Calibri"/>
                <w:color w:val="FFFFFF"/>
                <w:sz w:val="16"/>
                <w:szCs w:val="16"/>
              </w:rPr>
              <w:t>Greater Dandenong</w:t>
            </w:r>
          </w:p>
        </w:tc>
        <w:tc>
          <w:tcPr>
            <w:tcW w:w="516" w:type="dxa"/>
            <w:tcBorders>
              <w:top w:val="nil"/>
              <w:left w:val="nil"/>
              <w:bottom w:val="nil"/>
              <w:right w:val="nil"/>
            </w:tcBorders>
            <w:shd w:val="clear" w:color="auto" w:fill="auto"/>
            <w:noWrap/>
            <w:vAlign w:val="bottom"/>
            <w:hideMark/>
          </w:tcPr>
          <w:p w14:paraId="0F7B6217" w14:textId="77777777" w:rsidR="008A6B53" w:rsidRDefault="008A6B53" w:rsidP="009043E5">
            <w:pPr>
              <w:jc w:val="center"/>
              <w:rPr>
                <w:rFonts w:ascii="Garamond" w:hAnsi="Garamond" w:cs="Calibri"/>
                <w:color w:val="FFFFFF"/>
                <w:sz w:val="16"/>
                <w:szCs w:val="16"/>
              </w:rPr>
            </w:pPr>
          </w:p>
        </w:tc>
        <w:tc>
          <w:tcPr>
            <w:tcW w:w="1564" w:type="dxa"/>
            <w:vMerge w:val="restart"/>
            <w:tcBorders>
              <w:top w:val="nil"/>
              <w:left w:val="nil"/>
              <w:bottom w:val="nil"/>
              <w:right w:val="nil"/>
            </w:tcBorders>
            <w:shd w:val="clear" w:color="000000" w:fill="003300"/>
            <w:vAlign w:val="center"/>
            <w:hideMark/>
          </w:tcPr>
          <w:p w14:paraId="0B6EC4A1" w14:textId="77777777" w:rsidR="008A6B53" w:rsidRDefault="008A6B53" w:rsidP="009043E5">
            <w:pPr>
              <w:jc w:val="center"/>
              <w:rPr>
                <w:rFonts w:ascii="Garamond" w:hAnsi="Garamond" w:cs="Calibri"/>
                <w:color w:val="FFFFFF"/>
                <w:sz w:val="16"/>
                <w:szCs w:val="16"/>
              </w:rPr>
            </w:pPr>
            <w:r>
              <w:rPr>
                <w:rFonts w:ascii="Garamond" w:hAnsi="Garamond" w:cs="Calibri"/>
                <w:color w:val="FFFFFF"/>
                <w:sz w:val="16"/>
                <w:szCs w:val="16"/>
              </w:rPr>
              <w:t>Metro. Melbourne</w:t>
            </w:r>
          </w:p>
        </w:tc>
      </w:tr>
      <w:tr w:rsidR="008A6B53" w14:paraId="7059E96E" w14:textId="77777777" w:rsidTr="009043E5">
        <w:trPr>
          <w:trHeight w:val="285"/>
        </w:trPr>
        <w:tc>
          <w:tcPr>
            <w:tcW w:w="4916" w:type="dxa"/>
            <w:tcBorders>
              <w:top w:val="nil"/>
              <w:left w:val="nil"/>
              <w:bottom w:val="nil"/>
              <w:right w:val="nil"/>
            </w:tcBorders>
            <w:shd w:val="clear" w:color="000000" w:fill="948A54"/>
            <w:noWrap/>
            <w:vAlign w:val="bottom"/>
            <w:hideMark/>
          </w:tcPr>
          <w:p w14:paraId="6DEEE51D" w14:textId="77777777" w:rsidR="008A6B53" w:rsidRDefault="008A6B53" w:rsidP="009043E5">
            <w:pPr>
              <w:rPr>
                <w:rFonts w:ascii="Garamond" w:hAnsi="Garamond" w:cs="Calibri"/>
                <w:b/>
                <w:bCs/>
                <w:color w:val="000000"/>
                <w:sz w:val="16"/>
                <w:szCs w:val="16"/>
              </w:rPr>
            </w:pPr>
            <w:r>
              <w:rPr>
                <w:rFonts w:ascii="Garamond" w:hAnsi="Garamond" w:cs="Calibri"/>
                <w:b/>
                <w:bCs/>
                <w:color w:val="000000"/>
                <w:sz w:val="16"/>
                <w:szCs w:val="16"/>
              </w:rPr>
              <w:t>RATIOS</w:t>
            </w:r>
          </w:p>
        </w:tc>
        <w:tc>
          <w:tcPr>
            <w:tcW w:w="1564" w:type="dxa"/>
            <w:vMerge/>
            <w:tcBorders>
              <w:top w:val="nil"/>
              <w:left w:val="nil"/>
              <w:bottom w:val="nil"/>
              <w:right w:val="nil"/>
            </w:tcBorders>
            <w:vAlign w:val="center"/>
            <w:hideMark/>
          </w:tcPr>
          <w:p w14:paraId="00D86FBE" w14:textId="77777777" w:rsidR="008A6B53" w:rsidRDefault="008A6B53" w:rsidP="009043E5">
            <w:pPr>
              <w:rPr>
                <w:rFonts w:ascii="Garamond" w:hAnsi="Garamond" w:cs="Calibri"/>
                <w:color w:val="FFFFFF"/>
                <w:sz w:val="16"/>
                <w:szCs w:val="16"/>
              </w:rPr>
            </w:pPr>
          </w:p>
        </w:tc>
        <w:tc>
          <w:tcPr>
            <w:tcW w:w="516" w:type="dxa"/>
            <w:tcBorders>
              <w:top w:val="nil"/>
              <w:left w:val="nil"/>
              <w:bottom w:val="nil"/>
              <w:right w:val="nil"/>
            </w:tcBorders>
            <w:shd w:val="clear" w:color="auto" w:fill="auto"/>
            <w:noWrap/>
            <w:vAlign w:val="bottom"/>
            <w:hideMark/>
          </w:tcPr>
          <w:p w14:paraId="0A437636" w14:textId="77777777" w:rsidR="008A6B53" w:rsidRDefault="008A6B53" w:rsidP="009043E5">
            <w:pPr>
              <w:rPr>
                <w:rFonts w:ascii="Garamond" w:hAnsi="Garamond" w:cs="Calibri"/>
                <w:b/>
                <w:bCs/>
                <w:color w:val="000000"/>
                <w:sz w:val="16"/>
                <w:szCs w:val="16"/>
              </w:rPr>
            </w:pPr>
          </w:p>
        </w:tc>
        <w:tc>
          <w:tcPr>
            <w:tcW w:w="1564" w:type="dxa"/>
            <w:vMerge/>
            <w:tcBorders>
              <w:top w:val="nil"/>
              <w:left w:val="nil"/>
              <w:bottom w:val="nil"/>
              <w:right w:val="nil"/>
            </w:tcBorders>
            <w:vAlign w:val="center"/>
            <w:hideMark/>
          </w:tcPr>
          <w:p w14:paraId="591AB335" w14:textId="77777777" w:rsidR="008A6B53" w:rsidRDefault="008A6B53" w:rsidP="009043E5">
            <w:pPr>
              <w:rPr>
                <w:rFonts w:ascii="Garamond" w:hAnsi="Garamond" w:cs="Calibri"/>
                <w:color w:val="FFFFFF"/>
                <w:sz w:val="16"/>
                <w:szCs w:val="16"/>
              </w:rPr>
            </w:pPr>
          </w:p>
        </w:tc>
      </w:tr>
      <w:tr w:rsidR="008A6B53" w14:paraId="56DBEA57" w14:textId="77777777" w:rsidTr="009043E5">
        <w:trPr>
          <w:trHeight w:val="285"/>
        </w:trPr>
        <w:tc>
          <w:tcPr>
            <w:tcW w:w="4916" w:type="dxa"/>
            <w:tcBorders>
              <w:top w:val="single" w:sz="4" w:space="0" w:color="auto"/>
              <w:left w:val="nil"/>
              <w:bottom w:val="single" w:sz="4" w:space="0" w:color="auto"/>
              <w:right w:val="nil"/>
            </w:tcBorders>
            <w:shd w:val="clear" w:color="000000" w:fill="F2DCDB"/>
            <w:noWrap/>
            <w:vAlign w:val="bottom"/>
            <w:hideMark/>
          </w:tcPr>
          <w:p w14:paraId="445D1C25"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Jobseeker Payment / Population 18-64 (%)</w:t>
            </w:r>
          </w:p>
        </w:tc>
        <w:tc>
          <w:tcPr>
            <w:tcW w:w="1564" w:type="dxa"/>
            <w:tcBorders>
              <w:top w:val="single" w:sz="4" w:space="0" w:color="auto"/>
              <w:left w:val="nil"/>
              <w:bottom w:val="single" w:sz="4" w:space="0" w:color="auto"/>
              <w:right w:val="nil"/>
            </w:tcBorders>
            <w:shd w:val="clear" w:color="000000" w:fill="F2DCDB"/>
            <w:noWrap/>
            <w:vAlign w:val="center"/>
            <w:hideMark/>
          </w:tcPr>
          <w:p w14:paraId="430D8298"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10.9</w:t>
            </w:r>
          </w:p>
        </w:tc>
        <w:tc>
          <w:tcPr>
            <w:tcW w:w="516" w:type="dxa"/>
            <w:tcBorders>
              <w:top w:val="nil"/>
              <w:left w:val="nil"/>
              <w:bottom w:val="nil"/>
              <w:right w:val="nil"/>
            </w:tcBorders>
            <w:shd w:val="clear" w:color="auto" w:fill="auto"/>
            <w:noWrap/>
            <w:vAlign w:val="bottom"/>
            <w:hideMark/>
          </w:tcPr>
          <w:p w14:paraId="7857E22C"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single" w:sz="4" w:space="0" w:color="auto"/>
              <w:left w:val="nil"/>
              <w:bottom w:val="single" w:sz="4" w:space="0" w:color="auto"/>
              <w:right w:val="nil"/>
            </w:tcBorders>
            <w:shd w:val="clear" w:color="000000" w:fill="EBF1DE"/>
            <w:noWrap/>
            <w:vAlign w:val="center"/>
            <w:hideMark/>
          </w:tcPr>
          <w:p w14:paraId="5E8CB3D5"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7.9</w:t>
            </w:r>
          </w:p>
        </w:tc>
      </w:tr>
      <w:tr w:rsidR="008A6B53" w14:paraId="677BF4FA" w14:textId="77777777" w:rsidTr="009043E5">
        <w:trPr>
          <w:trHeight w:val="285"/>
        </w:trPr>
        <w:tc>
          <w:tcPr>
            <w:tcW w:w="4916" w:type="dxa"/>
            <w:tcBorders>
              <w:top w:val="nil"/>
              <w:left w:val="nil"/>
              <w:bottom w:val="single" w:sz="4" w:space="0" w:color="auto"/>
              <w:right w:val="nil"/>
            </w:tcBorders>
            <w:shd w:val="clear" w:color="000000" w:fill="E6B8B7"/>
            <w:noWrap/>
            <w:vAlign w:val="bottom"/>
            <w:hideMark/>
          </w:tcPr>
          <w:p w14:paraId="4DB9DE07"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Parenting Payment Single / Population Females 20-44 (%)</w:t>
            </w:r>
          </w:p>
        </w:tc>
        <w:tc>
          <w:tcPr>
            <w:tcW w:w="1564" w:type="dxa"/>
            <w:tcBorders>
              <w:top w:val="nil"/>
              <w:left w:val="nil"/>
              <w:bottom w:val="single" w:sz="4" w:space="0" w:color="auto"/>
              <w:right w:val="nil"/>
            </w:tcBorders>
            <w:shd w:val="clear" w:color="000000" w:fill="E6B8B7"/>
            <w:noWrap/>
            <w:vAlign w:val="center"/>
            <w:hideMark/>
          </w:tcPr>
          <w:p w14:paraId="6E8784E3"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3.9</w:t>
            </w:r>
          </w:p>
        </w:tc>
        <w:tc>
          <w:tcPr>
            <w:tcW w:w="516" w:type="dxa"/>
            <w:tcBorders>
              <w:top w:val="nil"/>
              <w:left w:val="nil"/>
              <w:bottom w:val="nil"/>
              <w:right w:val="nil"/>
            </w:tcBorders>
            <w:shd w:val="clear" w:color="auto" w:fill="auto"/>
            <w:noWrap/>
            <w:vAlign w:val="bottom"/>
            <w:hideMark/>
          </w:tcPr>
          <w:p w14:paraId="6001EA34"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D8E4BC"/>
            <w:noWrap/>
            <w:vAlign w:val="center"/>
            <w:hideMark/>
          </w:tcPr>
          <w:p w14:paraId="4482C2E7"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3.2</w:t>
            </w:r>
          </w:p>
        </w:tc>
      </w:tr>
      <w:tr w:rsidR="008A6B53" w14:paraId="6DAE7A95" w14:textId="77777777" w:rsidTr="009043E5">
        <w:trPr>
          <w:trHeight w:val="285"/>
        </w:trPr>
        <w:tc>
          <w:tcPr>
            <w:tcW w:w="4916" w:type="dxa"/>
            <w:tcBorders>
              <w:top w:val="nil"/>
              <w:left w:val="nil"/>
              <w:bottom w:val="single" w:sz="4" w:space="0" w:color="auto"/>
              <w:right w:val="nil"/>
            </w:tcBorders>
            <w:shd w:val="clear" w:color="000000" w:fill="F2DCDB"/>
            <w:noWrap/>
            <w:vAlign w:val="bottom"/>
            <w:hideMark/>
          </w:tcPr>
          <w:p w14:paraId="19720B97"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Parenting Payment - partnered / Population Female 20-45 (%)</w:t>
            </w:r>
          </w:p>
        </w:tc>
        <w:tc>
          <w:tcPr>
            <w:tcW w:w="1564" w:type="dxa"/>
            <w:tcBorders>
              <w:top w:val="nil"/>
              <w:left w:val="nil"/>
              <w:bottom w:val="single" w:sz="4" w:space="0" w:color="auto"/>
              <w:right w:val="nil"/>
            </w:tcBorders>
            <w:shd w:val="clear" w:color="000000" w:fill="F2DCDB"/>
            <w:noWrap/>
            <w:vAlign w:val="center"/>
            <w:hideMark/>
          </w:tcPr>
          <w:p w14:paraId="4733617E"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3.4</w:t>
            </w:r>
          </w:p>
        </w:tc>
        <w:tc>
          <w:tcPr>
            <w:tcW w:w="516" w:type="dxa"/>
            <w:tcBorders>
              <w:top w:val="nil"/>
              <w:left w:val="nil"/>
              <w:bottom w:val="nil"/>
              <w:right w:val="nil"/>
            </w:tcBorders>
            <w:shd w:val="clear" w:color="auto" w:fill="auto"/>
            <w:noWrap/>
            <w:vAlign w:val="bottom"/>
            <w:hideMark/>
          </w:tcPr>
          <w:p w14:paraId="192FFD1C"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EBF1DE"/>
            <w:noWrap/>
            <w:vAlign w:val="center"/>
            <w:hideMark/>
          </w:tcPr>
          <w:p w14:paraId="610DE8F2"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1.8</w:t>
            </w:r>
          </w:p>
        </w:tc>
      </w:tr>
      <w:tr w:rsidR="008A6B53" w14:paraId="43C48CAC" w14:textId="77777777" w:rsidTr="009043E5">
        <w:trPr>
          <w:trHeight w:val="285"/>
        </w:trPr>
        <w:tc>
          <w:tcPr>
            <w:tcW w:w="4916" w:type="dxa"/>
            <w:tcBorders>
              <w:top w:val="nil"/>
              <w:left w:val="nil"/>
              <w:bottom w:val="single" w:sz="4" w:space="0" w:color="auto"/>
              <w:right w:val="nil"/>
            </w:tcBorders>
            <w:shd w:val="clear" w:color="000000" w:fill="E6B8B7"/>
            <w:noWrap/>
            <w:vAlign w:val="bottom"/>
            <w:hideMark/>
          </w:tcPr>
          <w:p w14:paraId="59A18AD5"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Disability Pension / Total population (%)</w:t>
            </w:r>
          </w:p>
        </w:tc>
        <w:tc>
          <w:tcPr>
            <w:tcW w:w="1564" w:type="dxa"/>
            <w:tcBorders>
              <w:top w:val="nil"/>
              <w:left w:val="nil"/>
              <w:bottom w:val="single" w:sz="4" w:space="0" w:color="auto"/>
              <w:right w:val="nil"/>
            </w:tcBorders>
            <w:shd w:val="clear" w:color="000000" w:fill="E6B8B7"/>
            <w:noWrap/>
            <w:vAlign w:val="center"/>
            <w:hideMark/>
          </w:tcPr>
          <w:p w14:paraId="2557EC04"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3.7</w:t>
            </w:r>
          </w:p>
        </w:tc>
        <w:tc>
          <w:tcPr>
            <w:tcW w:w="516" w:type="dxa"/>
            <w:tcBorders>
              <w:top w:val="nil"/>
              <w:left w:val="nil"/>
              <w:bottom w:val="nil"/>
              <w:right w:val="nil"/>
            </w:tcBorders>
            <w:shd w:val="clear" w:color="auto" w:fill="auto"/>
            <w:noWrap/>
            <w:vAlign w:val="bottom"/>
            <w:hideMark/>
          </w:tcPr>
          <w:p w14:paraId="390618BD"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D8E4BC"/>
            <w:noWrap/>
            <w:vAlign w:val="center"/>
            <w:hideMark/>
          </w:tcPr>
          <w:p w14:paraId="39EFE8D9"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2.3</w:t>
            </w:r>
          </w:p>
        </w:tc>
      </w:tr>
      <w:tr w:rsidR="008A6B53" w14:paraId="571EC193" w14:textId="77777777" w:rsidTr="009043E5">
        <w:trPr>
          <w:trHeight w:val="285"/>
        </w:trPr>
        <w:tc>
          <w:tcPr>
            <w:tcW w:w="4916" w:type="dxa"/>
            <w:tcBorders>
              <w:top w:val="nil"/>
              <w:left w:val="nil"/>
              <w:bottom w:val="single" w:sz="4" w:space="0" w:color="auto"/>
              <w:right w:val="nil"/>
            </w:tcBorders>
            <w:shd w:val="clear" w:color="000000" w:fill="F2DCDB"/>
            <w:noWrap/>
            <w:vAlign w:val="bottom"/>
            <w:hideMark/>
          </w:tcPr>
          <w:p w14:paraId="66557308"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Aged Pension/ Population 65+ (%)</w:t>
            </w:r>
          </w:p>
        </w:tc>
        <w:tc>
          <w:tcPr>
            <w:tcW w:w="1564" w:type="dxa"/>
            <w:tcBorders>
              <w:top w:val="nil"/>
              <w:left w:val="nil"/>
              <w:bottom w:val="single" w:sz="4" w:space="0" w:color="auto"/>
              <w:right w:val="nil"/>
            </w:tcBorders>
            <w:shd w:val="clear" w:color="000000" w:fill="F2DCDB"/>
            <w:noWrap/>
            <w:vAlign w:val="center"/>
            <w:hideMark/>
          </w:tcPr>
          <w:p w14:paraId="772ADDDC"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69</w:t>
            </w:r>
          </w:p>
        </w:tc>
        <w:tc>
          <w:tcPr>
            <w:tcW w:w="516" w:type="dxa"/>
            <w:tcBorders>
              <w:top w:val="nil"/>
              <w:left w:val="nil"/>
              <w:bottom w:val="nil"/>
              <w:right w:val="nil"/>
            </w:tcBorders>
            <w:shd w:val="clear" w:color="auto" w:fill="auto"/>
            <w:noWrap/>
            <w:vAlign w:val="bottom"/>
            <w:hideMark/>
          </w:tcPr>
          <w:p w14:paraId="428E269A"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EBF1DE"/>
            <w:noWrap/>
            <w:vAlign w:val="center"/>
            <w:hideMark/>
          </w:tcPr>
          <w:p w14:paraId="626BA827"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55.0</w:t>
            </w:r>
          </w:p>
        </w:tc>
      </w:tr>
      <w:tr w:rsidR="008A6B53" w14:paraId="151C0669" w14:textId="77777777" w:rsidTr="009043E5">
        <w:trPr>
          <w:trHeight w:val="285"/>
        </w:trPr>
        <w:tc>
          <w:tcPr>
            <w:tcW w:w="4916" w:type="dxa"/>
            <w:tcBorders>
              <w:top w:val="nil"/>
              <w:left w:val="nil"/>
              <w:bottom w:val="single" w:sz="4" w:space="0" w:color="auto"/>
              <w:right w:val="nil"/>
            </w:tcBorders>
            <w:shd w:val="clear" w:color="000000" w:fill="E6B8B7"/>
            <w:noWrap/>
            <w:vAlign w:val="bottom"/>
            <w:hideMark/>
          </w:tcPr>
          <w:p w14:paraId="51F50356"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Health Care Card / Total population (%)</w:t>
            </w:r>
          </w:p>
        </w:tc>
        <w:tc>
          <w:tcPr>
            <w:tcW w:w="1564" w:type="dxa"/>
            <w:tcBorders>
              <w:top w:val="nil"/>
              <w:left w:val="nil"/>
              <w:bottom w:val="single" w:sz="4" w:space="0" w:color="auto"/>
              <w:right w:val="nil"/>
            </w:tcBorders>
            <w:shd w:val="clear" w:color="000000" w:fill="E6B8B7"/>
            <w:noWrap/>
            <w:vAlign w:val="center"/>
            <w:hideMark/>
          </w:tcPr>
          <w:p w14:paraId="3F8DD967"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12.0</w:t>
            </w:r>
          </w:p>
        </w:tc>
        <w:tc>
          <w:tcPr>
            <w:tcW w:w="516" w:type="dxa"/>
            <w:tcBorders>
              <w:top w:val="nil"/>
              <w:left w:val="nil"/>
              <w:bottom w:val="nil"/>
              <w:right w:val="nil"/>
            </w:tcBorders>
            <w:shd w:val="clear" w:color="auto" w:fill="auto"/>
            <w:noWrap/>
            <w:vAlign w:val="bottom"/>
            <w:hideMark/>
          </w:tcPr>
          <w:p w14:paraId="3FDA121E"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D8E4BC"/>
            <w:noWrap/>
            <w:vAlign w:val="center"/>
            <w:hideMark/>
          </w:tcPr>
          <w:p w14:paraId="2BF5F09A"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9.5</w:t>
            </w:r>
          </w:p>
        </w:tc>
      </w:tr>
      <w:tr w:rsidR="008A6B53" w14:paraId="0788E30B" w14:textId="77777777" w:rsidTr="009043E5">
        <w:trPr>
          <w:trHeight w:val="285"/>
        </w:trPr>
        <w:tc>
          <w:tcPr>
            <w:tcW w:w="4916" w:type="dxa"/>
            <w:tcBorders>
              <w:top w:val="nil"/>
              <w:left w:val="nil"/>
              <w:bottom w:val="single" w:sz="4" w:space="0" w:color="auto"/>
              <w:right w:val="nil"/>
            </w:tcBorders>
            <w:shd w:val="clear" w:color="000000" w:fill="F2DCDB"/>
            <w:noWrap/>
            <w:vAlign w:val="bottom"/>
            <w:hideMark/>
          </w:tcPr>
          <w:p w14:paraId="6F2EA20A"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Rent Assistance/Occupied Dwellings (%)</w:t>
            </w:r>
          </w:p>
        </w:tc>
        <w:tc>
          <w:tcPr>
            <w:tcW w:w="1564" w:type="dxa"/>
            <w:tcBorders>
              <w:top w:val="nil"/>
              <w:left w:val="nil"/>
              <w:bottom w:val="single" w:sz="4" w:space="0" w:color="auto"/>
              <w:right w:val="nil"/>
            </w:tcBorders>
            <w:shd w:val="clear" w:color="000000" w:fill="F2DCDB"/>
            <w:noWrap/>
            <w:vAlign w:val="center"/>
            <w:hideMark/>
          </w:tcPr>
          <w:p w14:paraId="6B0B46CD"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22.4</w:t>
            </w:r>
          </w:p>
        </w:tc>
        <w:tc>
          <w:tcPr>
            <w:tcW w:w="516" w:type="dxa"/>
            <w:tcBorders>
              <w:top w:val="nil"/>
              <w:left w:val="nil"/>
              <w:bottom w:val="nil"/>
              <w:right w:val="nil"/>
            </w:tcBorders>
            <w:shd w:val="clear" w:color="auto" w:fill="auto"/>
            <w:noWrap/>
            <w:vAlign w:val="bottom"/>
            <w:hideMark/>
          </w:tcPr>
          <w:p w14:paraId="2AA81957"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EBF1DE"/>
            <w:noWrap/>
            <w:vAlign w:val="center"/>
            <w:hideMark/>
          </w:tcPr>
          <w:p w14:paraId="0DE0E39E"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13.9</w:t>
            </w:r>
          </w:p>
        </w:tc>
      </w:tr>
    </w:tbl>
    <w:p w14:paraId="297ACAC7" w14:textId="77777777" w:rsidR="008A6B53" w:rsidRDefault="008A6B53" w:rsidP="008A6B53">
      <w:pPr>
        <w:tabs>
          <w:tab w:val="left" w:pos="284"/>
        </w:tabs>
        <w:spacing w:before="60" w:line="360" w:lineRule="auto"/>
        <w:jc w:val="both"/>
        <w:rPr>
          <w:rFonts w:ascii="Calibri" w:hAnsi="Calibri"/>
          <w:color w:val="000000"/>
        </w:rPr>
      </w:pPr>
    </w:p>
    <w:p w14:paraId="66C20D75" w14:textId="77777777" w:rsidR="008A6B53" w:rsidRDefault="008A6B53" w:rsidP="008A6B53">
      <w:pPr>
        <w:tabs>
          <w:tab w:val="left" w:pos="284"/>
        </w:tabs>
        <w:spacing w:before="60" w:line="360" w:lineRule="auto"/>
        <w:jc w:val="both"/>
        <w:rPr>
          <w:rFonts w:ascii="Calibri" w:hAnsi="Calibri"/>
          <w:color w:val="000000"/>
          <w:sz w:val="22"/>
          <w:szCs w:val="22"/>
        </w:rPr>
      </w:pPr>
      <w:r>
        <w:rPr>
          <w:rFonts w:asciiTheme="minorHAnsi" w:hAnsiTheme="minorHAnsi"/>
          <w:color w:val="000000"/>
          <w:sz w:val="22"/>
          <w:szCs w:val="22"/>
        </w:rPr>
        <w:t>Notably, i</w:t>
      </w:r>
      <w:r w:rsidRPr="00E514B6">
        <w:rPr>
          <w:rFonts w:asciiTheme="minorHAnsi" w:hAnsiTheme="minorHAnsi"/>
          <w:color w:val="000000"/>
          <w:sz w:val="22"/>
          <w:szCs w:val="22"/>
        </w:rPr>
        <w:t>n 20</w:t>
      </w:r>
      <w:r>
        <w:rPr>
          <w:rFonts w:asciiTheme="minorHAnsi" w:hAnsiTheme="minorHAnsi"/>
          <w:color w:val="000000"/>
          <w:sz w:val="22"/>
          <w:szCs w:val="22"/>
        </w:rPr>
        <w:t>16</w:t>
      </w:r>
      <w:r w:rsidRPr="00E514B6">
        <w:rPr>
          <w:rFonts w:asciiTheme="minorHAnsi" w:hAnsiTheme="minorHAnsi"/>
          <w:color w:val="000000"/>
          <w:sz w:val="22"/>
          <w:szCs w:val="22"/>
        </w:rPr>
        <w:t>, 3</w:t>
      </w:r>
      <w:r>
        <w:rPr>
          <w:rFonts w:asciiTheme="minorHAnsi" w:hAnsiTheme="minorHAnsi"/>
          <w:color w:val="000000"/>
          <w:sz w:val="22"/>
          <w:szCs w:val="22"/>
        </w:rPr>
        <w:t>1</w:t>
      </w:r>
      <w:r w:rsidRPr="00E514B6">
        <w:rPr>
          <w:rFonts w:asciiTheme="minorHAnsi" w:hAnsiTheme="minorHAnsi"/>
          <w:color w:val="000000"/>
          <w:sz w:val="22"/>
          <w:szCs w:val="22"/>
        </w:rPr>
        <w:t xml:space="preserve">% of families with children in Greater Dandenong had no parent in paid employment – the highest level in metropolitan Melbourne and substantially more than the State level of </w:t>
      </w:r>
      <w:r>
        <w:rPr>
          <w:rFonts w:asciiTheme="minorHAnsi" w:hAnsiTheme="minorHAnsi"/>
          <w:color w:val="000000"/>
          <w:sz w:val="22"/>
          <w:szCs w:val="22"/>
        </w:rPr>
        <w:t>19</w:t>
      </w:r>
      <w:r w:rsidRPr="00E514B6">
        <w:rPr>
          <w:rFonts w:asciiTheme="minorHAnsi" w:hAnsiTheme="minorHAnsi"/>
          <w:color w:val="000000"/>
          <w:sz w:val="22"/>
          <w:szCs w:val="22"/>
        </w:rPr>
        <w:t>%.</w:t>
      </w:r>
      <w:r>
        <w:rPr>
          <w:rFonts w:asciiTheme="minorHAnsi" w:hAnsiTheme="minorHAnsi"/>
          <w:color w:val="000000"/>
          <w:sz w:val="22"/>
          <w:szCs w:val="22"/>
        </w:rPr>
        <w:t xml:space="preserve"> </w:t>
      </w:r>
    </w:p>
    <w:p w14:paraId="3D8B2130" w14:textId="77777777" w:rsidR="008A6B53" w:rsidRDefault="008A6B53" w:rsidP="008A6B53">
      <w:pPr>
        <w:tabs>
          <w:tab w:val="left" w:pos="284"/>
        </w:tabs>
        <w:spacing w:before="60" w:line="360" w:lineRule="auto"/>
        <w:jc w:val="both"/>
        <w:rPr>
          <w:rFonts w:ascii="Calibri" w:hAnsi="Calibri"/>
          <w:color w:val="000000"/>
          <w:sz w:val="22"/>
          <w:szCs w:val="22"/>
        </w:rPr>
      </w:pPr>
    </w:p>
    <w:p w14:paraId="1D85068E" w14:textId="77777777" w:rsidR="008A6B53"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Findings of the 2009-10 ABS Household Expenditure Survey documented some of the financial difficulties experienced by households with low incomes. Across Australia, members of households whose main source of income was government pensions and benefits, were:</w:t>
      </w:r>
    </w:p>
    <w:p w14:paraId="13594071" w14:textId="77777777" w:rsidR="008A6B53"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four times more likely than others to have had to go without meals than others</w:t>
      </w:r>
    </w:p>
    <w:p w14:paraId="6209F422" w14:textId="77777777" w:rsidR="008A6B53"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five times more likely to have been unable to heat their home</w:t>
      </w:r>
    </w:p>
    <w:p w14:paraId="32E7A853" w14:textId="77777777" w:rsidR="008A6B53"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 xml:space="preserve">three times more likely to have been unable to afford to have friends over for a meal once a month </w:t>
      </w:r>
    </w:p>
    <w:p w14:paraId="7C31482C" w14:textId="77777777" w:rsidR="008A6B53" w:rsidRPr="00976A4A"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three times more likely to have been unable to afford hobby activities, than others.</w:t>
      </w:r>
    </w:p>
    <w:p w14:paraId="09AABFE4" w14:textId="77777777" w:rsidR="008A6B53" w:rsidRDefault="008A6B53" w:rsidP="008A6B53">
      <w:pPr>
        <w:rPr>
          <w:rFonts w:ascii="Calibri" w:hAnsi="Calibri"/>
          <w:b/>
          <w:color w:val="000000"/>
          <w:sz w:val="22"/>
          <w:szCs w:val="22"/>
        </w:rPr>
      </w:pPr>
      <w:r>
        <w:rPr>
          <w:rFonts w:ascii="Calibri" w:hAnsi="Calibri"/>
          <w:b/>
          <w:color w:val="000000"/>
          <w:sz w:val="22"/>
          <w:szCs w:val="22"/>
        </w:rPr>
        <w:br w:type="page"/>
      </w:r>
    </w:p>
    <w:p w14:paraId="769043B3" w14:textId="77777777" w:rsidR="008A6B53" w:rsidRPr="001C2963" w:rsidRDefault="008A6B53" w:rsidP="008A6B53">
      <w:pPr>
        <w:tabs>
          <w:tab w:val="num" w:pos="720"/>
        </w:tabs>
        <w:spacing w:before="60" w:after="60"/>
        <w:jc w:val="both"/>
        <w:rPr>
          <w:rFonts w:asciiTheme="minorHAnsi" w:hAnsiTheme="minorHAnsi"/>
          <w:b/>
          <w:color w:val="000000"/>
          <w:sz w:val="22"/>
          <w:szCs w:val="22"/>
        </w:rPr>
      </w:pPr>
      <w:r>
        <w:rPr>
          <w:rFonts w:asciiTheme="minorHAnsi" w:hAnsiTheme="minorHAnsi"/>
          <w:b/>
          <w:color w:val="000000"/>
          <w:sz w:val="22"/>
          <w:szCs w:val="22"/>
        </w:rPr>
        <w:lastRenderedPageBreak/>
        <w:t>The 2016 Index of Relative Socio-economic Disadvantage</w:t>
      </w:r>
    </w:p>
    <w:p w14:paraId="17821ADF" w14:textId="77777777" w:rsidR="008A6B53" w:rsidRPr="001C2963" w:rsidRDefault="008A6B53" w:rsidP="008A6B53">
      <w:pPr>
        <w:spacing w:line="360" w:lineRule="auto"/>
        <w:jc w:val="both"/>
        <w:rPr>
          <w:rFonts w:asciiTheme="minorHAnsi" w:hAnsiTheme="minorHAnsi"/>
          <w:sz w:val="22"/>
          <w:szCs w:val="22"/>
        </w:rPr>
      </w:pPr>
      <w:r w:rsidRPr="001C2963">
        <w:rPr>
          <w:rFonts w:asciiTheme="minorHAnsi" w:hAnsiTheme="minorHAnsi"/>
          <w:sz w:val="22"/>
          <w:szCs w:val="22"/>
        </w:rPr>
        <w:t>Greater Dandenong is ranked as the second most disadvantaged municipality in Victoria, on the Commonwealth Government Index of Relative Socio-economic Disadvantage.</w:t>
      </w:r>
    </w:p>
    <w:p w14:paraId="754DA5C4" w14:textId="77777777" w:rsidR="008A6B53" w:rsidRPr="001C2963" w:rsidRDefault="008A6B53" w:rsidP="008A6B53">
      <w:pPr>
        <w:spacing w:line="360" w:lineRule="auto"/>
        <w:jc w:val="both"/>
        <w:rPr>
          <w:rFonts w:asciiTheme="minorHAnsi" w:hAnsiTheme="minorHAnsi"/>
          <w:sz w:val="10"/>
          <w:szCs w:val="10"/>
        </w:rPr>
      </w:pPr>
    </w:p>
    <w:p w14:paraId="3EDD385B" w14:textId="77777777" w:rsidR="008A6B53" w:rsidRPr="001C2963" w:rsidRDefault="008A6B53" w:rsidP="008A6B53">
      <w:pPr>
        <w:spacing w:line="360" w:lineRule="auto"/>
        <w:jc w:val="both"/>
        <w:rPr>
          <w:rFonts w:asciiTheme="minorHAnsi" w:hAnsiTheme="minorHAnsi"/>
          <w:sz w:val="22"/>
          <w:szCs w:val="22"/>
        </w:rPr>
      </w:pPr>
      <w:proofErr w:type="gramStart"/>
      <w:r w:rsidRPr="001C2963">
        <w:rPr>
          <w:rFonts w:asciiTheme="minorHAnsi" w:hAnsiTheme="minorHAnsi"/>
          <w:sz w:val="22"/>
          <w:szCs w:val="22"/>
        </w:rPr>
        <w:t>This index,</w:t>
      </w:r>
      <w:proofErr w:type="gramEnd"/>
      <w:r w:rsidRPr="001C2963">
        <w:rPr>
          <w:rFonts w:asciiTheme="minorHAnsi" w:hAnsiTheme="minorHAnsi"/>
          <w:sz w:val="22"/>
          <w:szCs w:val="22"/>
        </w:rPr>
        <w:t xml:space="preserve"> </w:t>
      </w:r>
      <w:r>
        <w:rPr>
          <w:rFonts w:asciiTheme="minorHAnsi" w:hAnsiTheme="minorHAnsi"/>
          <w:sz w:val="22"/>
          <w:szCs w:val="22"/>
        </w:rPr>
        <w:t xml:space="preserve">was </w:t>
      </w:r>
      <w:r w:rsidRPr="001C2963">
        <w:rPr>
          <w:rFonts w:asciiTheme="minorHAnsi" w:hAnsiTheme="minorHAnsi"/>
          <w:sz w:val="22"/>
          <w:szCs w:val="22"/>
        </w:rPr>
        <w:t>released by the Australian Bureau of Statistics recently, and based on 2016 Census findings about income levels, education, English fluency, home ownership and others</w:t>
      </w:r>
      <w:r>
        <w:rPr>
          <w:rFonts w:asciiTheme="minorHAnsi" w:hAnsiTheme="minorHAnsi"/>
          <w:sz w:val="22"/>
          <w:szCs w:val="22"/>
        </w:rPr>
        <w:t>.</w:t>
      </w:r>
    </w:p>
    <w:p w14:paraId="47C7C11E" w14:textId="77777777" w:rsidR="008A6B53" w:rsidRPr="001C2963" w:rsidRDefault="008A6B53" w:rsidP="008A6B53">
      <w:pPr>
        <w:spacing w:line="360" w:lineRule="auto"/>
        <w:jc w:val="both"/>
        <w:rPr>
          <w:rFonts w:asciiTheme="minorHAnsi" w:hAnsiTheme="minorHAnsi"/>
          <w:sz w:val="10"/>
          <w:szCs w:val="10"/>
        </w:rPr>
      </w:pPr>
    </w:p>
    <w:p w14:paraId="55486F5E" w14:textId="77777777" w:rsidR="008A6B53" w:rsidRPr="001C2963" w:rsidRDefault="008A6B53" w:rsidP="008A6B53">
      <w:pPr>
        <w:pStyle w:val="ListParagraph"/>
        <w:numPr>
          <w:ilvl w:val="0"/>
          <w:numId w:val="5"/>
        </w:numPr>
        <w:spacing w:line="360" w:lineRule="auto"/>
        <w:jc w:val="both"/>
        <w:rPr>
          <w:rFonts w:asciiTheme="minorHAnsi" w:hAnsiTheme="minorHAnsi"/>
        </w:rPr>
      </w:pPr>
      <w:r w:rsidRPr="001C2963">
        <w:rPr>
          <w:rFonts w:asciiTheme="minorHAnsi" w:hAnsiTheme="minorHAnsi"/>
        </w:rPr>
        <w:t xml:space="preserve">Greater Dandenong is ranked as the second most socio-economically disadvantaged </w:t>
      </w:r>
      <w:r>
        <w:rPr>
          <w:rFonts w:asciiTheme="minorHAnsi" w:hAnsiTheme="minorHAnsi"/>
        </w:rPr>
        <w:t>municipality</w:t>
      </w:r>
      <w:r w:rsidRPr="001C2963">
        <w:rPr>
          <w:rFonts w:asciiTheme="minorHAnsi" w:hAnsiTheme="minorHAnsi"/>
        </w:rPr>
        <w:t xml:space="preserve"> in Victoria (after Central Goldfields) – the same as its ranking 20 years ago, in 1996.</w:t>
      </w:r>
    </w:p>
    <w:p w14:paraId="56E55053" w14:textId="77777777" w:rsidR="008A6B53" w:rsidRPr="001C2963" w:rsidRDefault="008A6B53" w:rsidP="008A6B53">
      <w:pPr>
        <w:pStyle w:val="ListParagraph"/>
        <w:spacing w:line="360" w:lineRule="auto"/>
        <w:jc w:val="both"/>
        <w:rPr>
          <w:rFonts w:asciiTheme="minorHAnsi" w:hAnsiTheme="minorHAnsi"/>
          <w:sz w:val="10"/>
          <w:szCs w:val="10"/>
        </w:rPr>
      </w:pPr>
    </w:p>
    <w:p w14:paraId="36475E90" w14:textId="77777777" w:rsidR="008A6B53" w:rsidRPr="001C2963" w:rsidRDefault="008A6B53" w:rsidP="008A6B53">
      <w:pPr>
        <w:pStyle w:val="ListParagraph"/>
        <w:numPr>
          <w:ilvl w:val="0"/>
          <w:numId w:val="5"/>
        </w:numPr>
        <w:spacing w:line="360" w:lineRule="auto"/>
        <w:jc w:val="both"/>
        <w:rPr>
          <w:rFonts w:asciiTheme="minorHAnsi" w:hAnsiTheme="minorHAnsi"/>
        </w:rPr>
      </w:pPr>
      <w:r w:rsidRPr="001C2963">
        <w:rPr>
          <w:rFonts w:asciiTheme="minorHAnsi" w:hAnsiTheme="minorHAnsi"/>
        </w:rPr>
        <w:t xml:space="preserve">By contrast, the least disadvantaged locality in Victoria is </w:t>
      </w:r>
      <w:proofErr w:type="spellStart"/>
      <w:r w:rsidRPr="001C2963">
        <w:rPr>
          <w:rFonts w:asciiTheme="minorHAnsi" w:hAnsiTheme="minorHAnsi"/>
        </w:rPr>
        <w:t>Nilumbik</w:t>
      </w:r>
      <w:proofErr w:type="spellEnd"/>
      <w:r w:rsidRPr="001C2963">
        <w:rPr>
          <w:rFonts w:asciiTheme="minorHAnsi" w:hAnsiTheme="minorHAnsi"/>
        </w:rPr>
        <w:t>, as it was in 2011.</w:t>
      </w:r>
    </w:p>
    <w:p w14:paraId="6B038F0E" w14:textId="77777777" w:rsidR="008A6B53" w:rsidRPr="001C2963" w:rsidRDefault="008A6B53" w:rsidP="008A6B53">
      <w:pPr>
        <w:pStyle w:val="ListParagraph"/>
        <w:spacing w:line="360" w:lineRule="auto"/>
        <w:jc w:val="both"/>
        <w:rPr>
          <w:rFonts w:asciiTheme="minorHAnsi" w:hAnsiTheme="minorHAnsi"/>
          <w:sz w:val="10"/>
          <w:szCs w:val="10"/>
        </w:rPr>
      </w:pPr>
    </w:p>
    <w:p w14:paraId="0293F6A3" w14:textId="77777777" w:rsidR="008A6B53" w:rsidRPr="001C2963" w:rsidRDefault="008A6B53" w:rsidP="008A6B53">
      <w:pPr>
        <w:pStyle w:val="ListParagraph"/>
        <w:numPr>
          <w:ilvl w:val="0"/>
          <w:numId w:val="5"/>
        </w:numPr>
        <w:spacing w:line="360" w:lineRule="auto"/>
        <w:jc w:val="both"/>
        <w:rPr>
          <w:rFonts w:asciiTheme="minorHAnsi" w:hAnsiTheme="minorHAnsi"/>
        </w:rPr>
      </w:pPr>
      <w:r w:rsidRPr="001C2963">
        <w:rPr>
          <w:rFonts w:asciiTheme="minorHAnsi" w:hAnsiTheme="minorHAnsi"/>
        </w:rPr>
        <w:t xml:space="preserve">Within Greater Dandenong, </w:t>
      </w:r>
      <w:r>
        <w:rPr>
          <w:rFonts w:asciiTheme="minorHAnsi" w:hAnsiTheme="minorHAnsi"/>
        </w:rPr>
        <w:t xml:space="preserve">the suburbs of </w:t>
      </w:r>
      <w:r w:rsidRPr="001C2963">
        <w:rPr>
          <w:rFonts w:asciiTheme="minorHAnsi" w:hAnsiTheme="minorHAnsi"/>
        </w:rPr>
        <w:t xml:space="preserve">Dandenong and Springvale are the most disadvantaged on this </w:t>
      </w:r>
      <w:proofErr w:type="gramStart"/>
      <w:r w:rsidRPr="001C2963">
        <w:rPr>
          <w:rFonts w:asciiTheme="minorHAnsi" w:hAnsiTheme="minorHAnsi"/>
        </w:rPr>
        <w:t>index, and</w:t>
      </w:r>
      <w:proofErr w:type="gramEnd"/>
      <w:r w:rsidRPr="001C2963">
        <w:rPr>
          <w:rFonts w:asciiTheme="minorHAnsi" w:hAnsiTheme="minorHAnsi"/>
        </w:rPr>
        <w:t xml:space="preserve"> are among the most disadvantaged 2% in Victoria. Keysborough is the </w:t>
      </w:r>
      <w:r w:rsidRPr="00F57573">
        <w:rPr>
          <w:rFonts w:asciiTheme="minorHAnsi" w:hAnsiTheme="minorHAnsi"/>
          <w:i/>
        </w:rPr>
        <w:t>least</w:t>
      </w:r>
      <w:r w:rsidRPr="001C2963">
        <w:rPr>
          <w:rFonts w:asciiTheme="minorHAnsi" w:hAnsiTheme="minorHAnsi"/>
        </w:rPr>
        <w:t xml:space="preserve"> disadvantaged suburb in Greater Dandenong, though still among the 27% most disadvantaged in the State</w:t>
      </w:r>
    </w:p>
    <w:p w14:paraId="01698A15" w14:textId="77777777" w:rsidR="008A6B53" w:rsidRPr="001C2963" w:rsidRDefault="008A6B53" w:rsidP="008A6B53">
      <w:pPr>
        <w:jc w:val="both"/>
        <w:rPr>
          <w:rFonts w:asciiTheme="minorHAnsi" w:hAnsiTheme="minorHAnsi"/>
          <w:sz w:val="10"/>
          <w:szCs w:val="10"/>
        </w:rPr>
      </w:pPr>
      <w:r w:rsidRPr="001C2963">
        <w:rPr>
          <w:rFonts w:asciiTheme="minorHAnsi" w:hAnsiTheme="minorHAnsi"/>
          <w:noProof/>
          <w:lang w:val="en-AU" w:eastAsia="en-AU"/>
        </w:rPr>
        <w:drawing>
          <wp:anchor distT="0" distB="0" distL="114300" distR="114300" simplePos="0" relativeHeight="251663360" behindDoc="0" locked="0" layoutInCell="1" allowOverlap="1" wp14:anchorId="7DDF9523" wp14:editId="05695B6D">
            <wp:simplePos x="0" y="0"/>
            <wp:positionH relativeFrom="column">
              <wp:posOffset>122555</wp:posOffset>
            </wp:positionH>
            <wp:positionV relativeFrom="paragraph">
              <wp:posOffset>4127</wp:posOffset>
            </wp:positionV>
            <wp:extent cx="4274820" cy="269938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2993" b="3521"/>
                    <a:stretch/>
                  </pic:blipFill>
                  <pic:spPr bwMode="auto">
                    <a:xfrm>
                      <a:off x="0" y="0"/>
                      <a:ext cx="4274820" cy="2699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30A51" w14:textId="77777777" w:rsidR="008A6B53" w:rsidRDefault="008A6B53" w:rsidP="008A6B53">
      <w:pPr>
        <w:pStyle w:val="ListParagraph"/>
        <w:jc w:val="both"/>
        <w:rPr>
          <w:rFonts w:asciiTheme="minorHAnsi" w:hAnsiTheme="minorHAnsi"/>
          <w:color w:val="7F7F7F" w:themeColor="text1" w:themeTint="80"/>
          <w:sz w:val="20"/>
          <w:szCs w:val="20"/>
        </w:rPr>
      </w:pPr>
    </w:p>
    <w:p w14:paraId="490FA939" w14:textId="77777777" w:rsidR="008A6B53" w:rsidRDefault="008A6B53" w:rsidP="008A6B53">
      <w:pPr>
        <w:pStyle w:val="ListParagraph"/>
        <w:jc w:val="both"/>
        <w:rPr>
          <w:rFonts w:asciiTheme="minorHAnsi" w:hAnsiTheme="minorHAnsi"/>
          <w:color w:val="7F7F7F" w:themeColor="text1" w:themeTint="80"/>
          <w:sz w:val="20"/>
          <w:szCs w:val="20"/>
        </w:rPr>
      </w:pPr>
    </w:p>
    <w:p w14:paraId="78DBDAB4" w14:textId="77777777" w:rsidR="008A6B53" w:rsidRPr="001C2963" w:rsidRDefault="008A6B53" w:rsidP="008A6B53">
      <w:pPr>
        <w:pStyle w:val="ListParagraph"/>
        <w:jc w:val="both"/>
        <w:rPr>
          <w:rFonts w:asciiTheme="minorHAnsi" w:hAnsiTheme="minorHAnsi"/>
          <w:sz w:val="10"/>
          <w:szCs w:val="10"/>
        </w:rPr>
      </w:pPr>
      <w:r w:rsidRPr="001C2963">
        <w:rPr>
          <w:rFonts w:asciiTheme="minorHAnsi" w:hAnsiTheme="minorHAnsi"/>
          <w:color w:val="7F7F7F" w:themeColor="text1" w:themeTint="80"/>
          <w:sz w:val="20"/>
          <w:szCs w:val="20"/>
        </w:rPr>
        <w:t>Index of Relative Socio-economic Disadvantage, 2016: Suburbs of Greater Dandenong and Neighbouring Suburbs</w:t>
      </w:r>
    </w:p>
    <w:p w14:paraId="256213EB" w14:textId="77777777" w:rsidR="008A6B53" w:rsidRPr="001C2963" w:rsidRDefault="008A6B53" w:rsidP="008A6B53">
      <w:pPr>
        <w:pStyle w:val="ListParagraph"/>
        <w:ind w:left="0"/>
        <w:jc w:val="center"/>
        <w:rPr>
          <w:rFonts w:asciiTheme="minorHAnsi" w:hAnsiTheme="minorHAnsi"/>
        </w:rPr>
      </w:pPr>
    </w:p>
    <w:p w14:paraId="3EA2E0D5" w14:textId="77777777" w:rsidR="008A6B53" w:rsidRPr="001C2963" w:rsidRDefault="008A6B53" w:rsidP="008A6B53">
      <w:pPr>
        <w:pStyle w:val="ListParagraph"/>
        <w:ind w:left="0"/>
        <w:jc w:val="center"/>
        <w:rPr>
          <w:rFonts w:asciiTheme="minorHAnsi" w:hAnsiTheme="minorHAnsi"/>
        </w:rPr>
      </w:pPr>
    </w:p>
    <w:p w14:paraId="099829A4" w14:textId="77777777" w:rsidR="008A6B53" w:rsidRPr="001C2963" w:rsidRDefault="008A6B53" w:rsidP="008A6B53">
      <w:pPr>
        <w:pStyle w:val="ListParagraph"/>
        <w:ind w:left="0"/>
        <w:jc w:val="center"/>
        <w:rPr>
          <w:rFonts w:asciiTheme="minorHAnsi" w:hAnsiTheme="minorHAnsi"/>
        </w:rPr>
      </w:pPr>
    </w:p>
    <w:p w14:paraId="2D823F63" w14:textId="77777777" w:rsidR="008A6B53" w:rsidRPr="001C2963" w:rsidRDefault="008A6B53" w:rsidP="008A6B53">
      <w:pPr>
        <w:pStyle w:val="ListParagraph"/>
        <w:ind w:left="0"/>
        <w:jc w:val="center"/>
        <w:rPr>
          <w:rFonts w:asciiTheme="minorHAnsi" w:hAnsiTheme="minorHAnsi"/>
        </w:rPr>
      </w:pPr>
    </w:p>
    <w:p w14:paraId="78C68563" w14:textId="77777777" w:rsidR="008A6B53" w:rsidRPr="001C2963" w:rsidRDefault="008A6B53" w:rsidP="008A6B53">
      <w:pPr>
        <w:pStyle w:val="ListParagraph"/>
        <w:ind w:left="0"/>
        <w:jc w:val="center"/>
        <w:rPr>
          <w:rFonts w:asciiTheme="minorHAnsi" w:hAnsiTheme="minorHAnsi"/>
        </w:rPr>
      </w:pPr>
    </w:p>
    <w:p w14:paraId="72F831A8" w14:textId="77777777" w:rsidR="008A6B53" w:rsidRPr="001C2963" w:rsidRDefault="008A6B53" w:rsidP="008A6B53">
      <w:pPr>
        <w:pStyle w:val="ListParagraph"/>
        <w:ind w:left="0"/>
        <w:jc w:val="center"/>
        <w:rPr>
          <w:rFonts w:asciiTheme="minorHAnsi" w:hAnsiTheme="minorHAnsi"/>
        </w:rPr>
      </w:pPr>
    </w:p>
    <w:p w14:paraId="3695DC43" w14:textId="77777777" w:rsidR="008A6B53" w:rsidRPr="001C2963" w:rsidRDefault="008A6B53" w:rsidP="008A6B53">
      <w:pPr>
        <w:pStyle w:val="ListParagraph"/>
        <w:ind w:left="0"/>
        <w:jc w:val="center"/>
        <w:rPr>
          <w:rFonts w:asciiTheme="minorHAnsi" w:hAnsiTheme="minorHAnsi"/>
        </w:rPr>
      </w:pPr>
    </w:p>
    <w:p w14:paraId="2E2FD547" w14:textId="77777777" w:rsidR="008A6B53" w:rsidRPr="001C2963" w:rsidRDefault="008A6B53" w:rsidP="008A6B53">
      <w:pPr>
        <w:pStyle w:val="ListParagraph"/>
        <w:ind w:left="0"/>
        <w:jc w:val="center"/>
        <w:rPr>
          <w:rFonts w:asciiTheme="minorHAnsi" w:hAnsiTheme="minorHAnsi"/>
        </w:rPr>
      </w:pPr>
    </w:p>
    <w:p w14:paraId="7C15BD96" w14:textId="77777777" w:rsidR="008A6B53" w:rsidRPr="001C2963" w:rsidRDefault="008A6B53" w:rsidP="008A6B53">
      <w:pPr>
        <w:pStyle w:val="ListParagraph"/>
        <w:ind w:left="0"/>
        <w:jc w:val="center"/>
        <w:rPr>
          <w:rFonts w:asciiTheme="minorHAnsi" w:hAnsiTheme="minorHAnsi"/>
        </w:rPr>
      </w:pPr>
    </w:p>
    <w:p w14:paraId="6917178E" w14:textId="77777777" w:rsidR="008A6B53" w:rsidRDefault="008A6B53" w:rsidP="008A6B53">
      <w:pPr>
        <w:pStyle w:val="ListParagraph"/>
        <w:ind w:left="0"/>
        <w:jc w:val="center"/>
        <w:rPr>
          <w:rFonts w:asciiTheme="minorHAnsi" w:hAnsiTheme="minorHAnsi"/>
        </w:rPr>
      </w:pPr>
    </w:p>
    <w:p w14:paraId="35EF8A5D" w14:textId="77777777" w:rsidR="008A6B53" w:rsidRPr="001C2963" w:rsidRDefault="008A6B53" w:rsidP="008A6B53">
      <w:pPr>
        <w:pStyle w:val="ListParagraph"/>
        <w:ind w:left="0"/>
        <w:jc w:val="center"/>
        <w:rPr>
          <w:rFonts w:asciiTheme="minorHAnsi" w:hAnsiTheme="minorHAnsi"/>
        </w:rPr>
      </w:pPr>
    </w:p>
    <w:p w14:paraId="419BDB37" w14:textId="77777777" w:rsidR="008A6B53" w:rsidRPr="00F57573" w:rsidRDefault="008A6B53" w:rsidP="008A6B53">
      <w:pPr>
        <w:pStyle w:val="ListParagraph"/>
        <w:ind w:left="0"/>
        <w:rPr>
          <w:rFonts w:asciiTheme="minorHAnsi" w:hAnsiTheme="minorHAnsi"/>
          <w:b/>
        </w:rPr>
      </w:pPr>
      <w:r w:rsidRPr="001C2963">
        <w:rPr>
          <w:rFonts w:asciiTheme="minorHAnsi" w:hAnsiTheme="minorHAnsi"/>
          <w:noProof/>
          <w:lang w:eastAsia="en-AU"/>
        </w:rPr>
        <w:drawing>
          <wp:anchor distT="0" distB="0" distL="114300" distR="114300" simplePos="0" relativeHeight="251665408" behindDoc="0" locked="0" layoutInCell="1" allowOverlap="1" wp14:anchorId="35E513E1" wp14:editId="303869D1">
            <wp:simplePos x="0" y="0"/>
            <wp:positionH relativeFrom="column">
              <wp:posOffset>2575560</wp:posOffset>
            </wp:positionH>
            <wp:positionV relativeFrom="paragraph">
              <wp:posOffset>6350</wp:posOffset>
            </wp:positionV>
            <wp:extent cx="3376295" cy="270002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6295" cy="2700020"/>
                    </a:xfrm>
                    <a:prstGeom prst="rect">
                      <a:avLst/>
                    </a:prstGeom>
                    <a:noFill/>
                  </pic:spPr>
                </pic:pic>
              </a:graphicData>
            </a:graphic>
            <wp14:sizeRelH relativeFrom="page">
              <wp14:pctWidth>0</wp14:pctWidth>
            </wp14:sizeRelH>
            <wp14:sizeRelV relativeFrom="page">
              <wp14:pctHeight>0</wp14:pctHeight>
            </wp14:sizeRelV>
          </wp:anchor>
        </w:drawing>
      </w:r>
      <w:r w:rsidRPr="00F57573">
        <w:rPr>
          <w:rFonts w:asciiTheme="minorHAnsi" w:hAnsiTheme="minorHAnsi"/>
          <w:b/>
        </w:rPr>
        <w:t>Changes over time</w:t>
      </w:r>
    </w:p>
    <w:p w14:paraId="1335A71F" w14:textId="77777777" w:rsidR="008A6B53" w:rsidRPr="001C2963" w:rsidRDefault="008A6B53" w:rsidP="008A6B53">
      <w:pPr>
        <w:pStyle w:val="ListParagraph"/>
        <w:ind w:left="0"/>
        <w:jc w:val="center"/>
        <w:rPr>
          <w:rFonts w:asciiTheme="minorHAnsi" w:hAnsiTheme="minorHAnsi"/>
        </w:rPr>
      </w:pPr>
    </w:p>
    <w:p w14:paraId="0C591772" w14:textId="77777777" w:rsidR="008A6B53" w:rsidRPr="001C2963" w:rsidRDefault="008A6B53" w:rsidP="008A6B53">
      <w:pPr>
        <w:pStyle w:val="ListParagraph"/>
        <w:spacing w:line="360" w:lineRule="auto"/>
        <w:ind w:left="0"/>
        <w:jc w:val="both"/>
        <w:rPr>
          <w:rFonts w:asciiTheme="minorHAnsi" w:hAnsiTheme="minorHAnsi"/>
        </w:rPr>
      </w:pPr>
      <w:r w:rsidRPr="001C2963">
        <w:rPr>
          <w:rFonts w:asciiTheme="minorHAnsi" w:hAnsiTheme="minorHAnsi"/>
        </w:rPr>
        <w:t>The accompanying chart illustrates the change in ranking among suburbs within and neighbouring Greater Dandenong, in the period 2011 to 2016.</w:t>
      </w:r>
    </w:p>
    <w:p w14:paraId="50E53952" w14:textId="77777777" w:rsidR="008A6B53" w:rsidRPr="001C2963" w:rsidRDefault="008A6B53" w:rsidP="008A6B53">
      <w:pPr>
        <w:pStyle w:val="ListParagraph"/>
        <w:spacing w:line="360" w:lineRule="auto"/>
        <w:ind w:left="0"/>
        <w:jc w:val="both"/>
        <w:rPr>
          <w:rFonts w:asciiTheme="minorHAnsi" w:hAnsiTheme="minorHAnsi"/>
        </w:rPr>
      </w:pPr>
      <w:r w:rsidRPr="001C2963">
        <w:rPr>
          <w:rFonts w:asciiTheme="minorHAnsi" w:hAnsiTheme="minorHAnsi"/>
        </w:rPr>
        <w:t>A rise in ranking reflects a reduction in socio-economic disadvantage or improvement in conditions.</w:t>
      </w:r>
    </w:p>
    <w:p w14:paraId="04D4CE84" w14:textId="77777777" w:rsidR="008A6B53" w:rsidRPr="00F10793" w:rsidRDefault="008A6B53" w:rsidP="008A6B53">
      <w:pPr>
        <w:pStyle w:val="ListParagraph"/>
        <w:ind w:left="0"/>
        <w:rPr>
          <w:rFonts w:asciiTheme="minorHAnsi" w:hAnsiTheme="minorHAnsi"/>
          <w:sz w:val="8"/>
          <w:szCs w:val="8"/>
        </w:rPr>
      </w:pPr>
    </w:p>
    <w:p w14:paraId="73035B9E" w14:textId="77777777" w:rsidR="008A6B53" w:rsidRPr="001C2963" w:rsidRDefault="008A6B53" w:rsidP="008A6B53">
      <w:pPr>
        <w:pStyle w:val="ListParagraph"/>
        <w:ind w:left="0"/>
        <w:jc w:val="both"/>
        <w:rPr>
          <w:rFonts w:asciiTheme="minorHAnsi" w:hAnsiTheme="minorHAnsi"/>
          <w:color w:val="7F7F7F" w:themeColor="text1" w:themeTint="80"/>
          <w:sz w:val="20"/>
          <w:szCs w:val="20"/>
        </w:rPr>
      </w:pPr>
      <w:r w:rsidRPr="001C2963">
        <w:rPr>
          <w:rFonts w:asciiTheme="minorHAnsi" w:hAnsiTheme="minorHAnsi"/>
          <w:color w:val="7F7F7F" w:themeColor="text1" w:themeTint="80"/>
          <w:sz w:val="20"/>
          <w:szCs w:val="20"/>
        </w:rPr>
        <w:t>Change in Index of Relative Socio-economic Disadvantage, 2016: Suburbs of and around Greater Dandenong: 2011 to 2016</w:t>
      </w:r>
    </w:p>
    <w:p w14:paraId="62DEA90B" w14:textId="77777777" w:rsidR="008A6B53" w:rsidRPr="001C2963" w:rsidRDefault="008A6B53" w:rsidP="008A6B53">
      <w:pPr>
        <w:pStyle w:val="ListParagraph"/>
        <w:ind w:left="0"/>
        <w:jc w:val="both"/>
        <w:rPr>
          <w:rFonts w:asciiTheme="minorHAnsi" w:hAnsiTheme="minorHAnsi"/>
          <w:color w:val="7F7F7F" w:themeColor="text1" w:themeTint="80"/>
          <w:sz w:val="20"/>
          <w:szCs w:val="20"/>
        </w:rPr>
      </w:pPr>
    </w:p>
    <w:p w14:paraId="1307F386" w14:textId="77777777" w:rsidR="008A6B53" w:rsidRPr="001C2963" w:rsidRDefault="008A6B53" w:rsidP="008A6B53">
      <w:pPr>
        <w:spacing w:line="360" w:lineRule="auto"/>
        <w:jc w:val="both"/>
        <w:rPr>
          <w:rFonts w:asciiTheme="minorHAnsi" w:hAnsiTheme="minorHAnsi"/>
          <w:sz w:val="22"/>
          <w:szCs w:val="22"/>
        </w:rPr>
      </w:pPr>
      <w:r w:rsidRPr="001C2963">
        <w:rPr>
          <w:rFonts w:asciiTheme="minorHAnsi" w:hAnsiTheme="minorHAnsi"/>
          <w:sz w:val="22"/>
          <w:szCs w:val="22"/>
        </w:rPr>
        <w:lastRenderedPageBreak/>
        <w:t xml:space="preserve">The chart below, illustrates changes in ranking on the Index of Relative Socio-economic Disadvantage, among Victorian municipalities, in the </w:t>
      </w:r>
      <w:r>
        <w:rPr>
          <w:rFonts w:asciiTheme="minorHAnsi" w:hAnsiTheme="minorHAnsi"/>
          <w:sz w:val="22"/>
          <w:szCs w:val="22"/>
        </w:rPr>
        <w:t xml:space="preserve">20-year </w:t>
      </w:r>
      <w:r w:rsidRPr="001C2963">
        <w:rPr>
          <w:rFonts w:asciiTheme="minorHAnsi" w:hAnsiTheme="minorHAnsi"/>
          <w:sz w:val="22"/>
          <w:szCs w:val="22"/>
        </w:rPr>
        <w:t xml:space="preserve">period </w:t>
      </w:r>
      <w:r>
        <w:rPr>
          <w:rFonts w:asciiTheme="minorHAnsi" w:hAnsiTheme="minorHAnsi"/>
          <w:sz w:val="22"/>
          <w:szCs w:val="22"/>
        </w:rPr>
        <w:t>1996</w:t>
      </w:r>
      <w:r w:rsidRPr="001C2963">
        <w:rPr>
          <w:rFonts w:asciiTheme="minorHAnsi" w:hAnsiTheme="minorHAnsi"/>
          <w:sz w:val="22"/>
          <w:szCs w:val="22"/>
        </w:rPr>
        <w:t xml:space="preserve"> to 2016.</w:t>
      </w:r>
    </w:p>
    <w:p w14:paraId="33161E11" w14:textId="77777777" w:rsidR="008A6B53" w:rsidRPr="001C2963" w:rsidRDefault="008A6B53" w:rsidP="008A6B53">
      <w:pPr>
        <w:spacing w:line="360" w:lineRule="auto"/>
        <w:jc w:val="both"/>
        <w:rPr>
          <w:rFonts w:asciiTheme="minorHAnsi" w:hAnsiTheme="minorHAnsi"/>
          <w:sz w:val="22"/>
          <w:szCs w:val="22"/>
        </w:rPr>
      </w:pPr>
      <w:r w:rsidRPr="001C2963">
        <w:rPr>
          <w:rFonts w:asciiTheme="minorHAnsi" w:hAnsiTheme="minorHAnsi"/>
          <w:sz w:val="22"/>
          <w:szCs w:val="22"/>
        </w:rPr>
        <w:t xml:space="preserve">Notably, overall increases in ranking on the index, signifying improvements in general socio-economic conditions, were registered in Nillumbik, Moreland, </w:t>
      </w:r>
      <w:proofErr w:type="spellStart"/>
      <w:r w:rsidRPr="001C2963">
        <w:rPr>
          <w:rFonts w:asciiTheme="minorHAnsi" w:hAnsiTheme="minorHAnsi"/>
          <w:sz w:val="22"/>
          <w:szCs w:val="22"/>
        </w:rPr>
        <w:t>Darebin</w:t>
      </w:r>
      <w:proofErr w:type="spellEnd"/>
      <w:r w:rsidRPr="001C2963">
        <w:rPr>
          <w:rFonts w:asciiTheme="minorHAnsi" w:hAnsiTheme="minorHAnsi"/>
          <w:sz w:val="22"/>
          <w:szCs w:val="22"/>
        </w:rPr>
        <w:t xml:space="preserve"> and other ‘gentrifying’ municipalities, while declines in ranking were recorded in a selection of smaller rural municipalities including </w:t>
      </w:r>
      <w:proofErr w:type="spellStart"/>
      <w:r w:rsidRPr="001C2963">
        <w:rPr>
          <w:rFonts w:asciiTheme="minorHAnsi" w:hAnsiTheme="minorHAnsi"/>
          <w:sz w:val="22"/>
          <w:szCs w:val="22"/>
        </w:rPr>
        <w:t>Yarriambiak</w:t>
      </w:r>
      <w:proofErr w:type="spellEnd"/>
      <w:r w:rsidRPr="001C2963">
        <w:rPr>
          <w:rFonts w:asciiTheme="minorHAnsi" w:hAnsiTheme="minorHAnsi"/>
          <w:sz w:val="22"/>
          <w:szCs w:val="22"/>
        </w:rPr>
        <w:t xml:space="preserve">, </w:t>
      </w:r>
      <w:proofErr w:type="spellStart"/>
      <w:r w:rsidRPr="001C2963">
        <w:rPr>
          <w:rFonts w:asciiTheme="minorHAnsi" w:hAnsiTheme="minorHAnsi"/>
          <w:sz w:val="22"/>
          <w:szCs w:val="22"/>
        </w:rPr>
        <w:t>Buloke</w:t>
      </w:r>
      <w:proofErr w:type="spellEnd"/>
      <w:r w:rsidRPr="001C2963">
        <w:rPr>
          <w:rFonts w:asciiTheme="minorHAnsi" w:hAnsiTheme="minorHAnsi"/>
          <w:sz w:val="22"/>
          <w:szCs w:val="22"/>
        </w:rPr>
        <w:t xml:space="preserve"> and Corangamite. The ranking on this in</w:t>
      </w:r>
      <w:r>
        <w:rPr>
          <w:rFonts w:asciiTheme="minorHAnsi" w:hAnsiTheme="minorHAnsi"/>
          <w:sz w:val="22"/>
          <w:szCs w:val="22"/>
        </w:rPr>
        <w:t>dex for Greater Dandenong</w:t>
      </w:r>
      <w:r w:rsidRPr="001C2963">
        <w:rPr>
          <w:rFonts w:asciiTheme="minorHAnsi" w:hAnsiTheme="minorHAnsi"/>
          <w:sz w:val="22"/>
          <w:szCs w:val="22"/>
        </w:rPr>
        <w:t xml:space="preserve"> has not changed in this period.</w:t>
      </w:r>
    </w:p>
    <w:p w14:paraId="728C4977" w14:textId="77777777" w:rsidR="008A6B53" w:rsidRPr="001C2963" w:rsidRDefault="008A6B53" w:rsidP="008A6B53">
      <w:pPr>
        <w:spacing w:line="360" w:lineRule="auto"/>
        <w:rPr>
          <w:rFonts w:asciiTheme="minorHAnsi" w:hAnsiTheme="minorHAnsi"/>
          <w:sz w:val="16"/>
          <w:szCs w:val="16"/>
        </w:rPr>
      </w:pPr>
    </w:p>
    <w:p w14:paraId="0AEB4B87" w14:textId="77777777" w:rsidR="008A6B53" w:rsidRPr="001C2963" w:rsidRDefault="008A6B53" w:rsidP="008A6B53">
      <w:pPr>
        <w:rPr>
          <w:rFonts w:asciiTheme="minorHAnsi" w:hAnsiTheme="minorHAnsi"/>
          <w:color w:val="7F7F7F" w:themeColor="text1" w:themeTint="80"/>
          <w:sz w:val="20"/>
          <w:szCs w:val="20"/>
        </w:rPr>
      </w:pPr>
      <w:r w:rsidRPr="001C2963">
        <w:rPr>
          <w:rFonts w:asciiTheme="minorHAnsi" w:hAnsiTheme="minorHAnsi"/>
          <w:color w:val="7F7F7F" w:themeColor="text1" w:themeTint="80"/>
          <w:sz w:val="20"/>
          <w:szCs w:val="20"/>
        </w:rPr>
        <w:t>Numeric Change in Ranking from 2011 to 2016: Municipalities of Victoria</w:t>
      </w:r>
    </w:p>
    <w:p w14:paraId="7FBD1FBA" w14:textId="77777777" w:rsidR="008A6B53" w:rsidRPr="001C2963" w:rsidRDefault="008A6B53" w:rsidP="008A6B53">
      <w:pPr>
        <w:tabs>
          <w:tab w:val="left" w:pos="6237"/>
        </w:tabs>
        <w:rPr>
          <w:rFonts w:asciiTheme="minorHAnsi" w:hAnsiTheme="minorHAnsi"/>
          <w:i/>
          <w:sz w:val="20"/>
          <w:szCs w:val="20"/>
        </w:rPr>
      </w:pPr>
      <w:r w:rsidRPr="001C2963">
        <w:rPr>
          <w:rFonts w:asciiTheme="minorHAnsi" w:hAnsiTheme="minorHAnsi"/>
          <w:i/>
          <w:sz w:val="20"/>
          <w:szCs w:val="20"/>
        </w:rPr>
        <w:t>Increase in relative disadvantage</w:t>
      </w:r>
      <w:r w:rsidRPr="001C2963">
        <w:rPr>
          <w:rFonts w:asciiTheme="minorHAnsi" w:hAnsiTheme="minorHAnsi"/>
          <w:i/>
          <w:sz w:val="20"/>
          <w:szCs w:val="20"/>
        </w:rPr>
        <w:tab/>
        <w:t>Decline in relative disadvantage</w:t>
      </w:r>
    </w:p>
    <w:p w14:paraId="157730CA" w14:textId="77777777" w:rsidR="008A6B53" w:rsidRPr="001C2963" w:rsidRDefault="008A6B53" w:rsidP="008A6B53">
      <w:pPr>
        <w:rPr>
          <w:rFonts w:asciiTheme="minorHAnsi" w:hAnsiTheme="minorHAnsi"/>
        </w:rPr>
      </w:pPr>
      <w:r w:rsidRPr="001C2963">
        <w:rPr>
          <w:rFonts w:asciiTheme="minorHAnsi" w:hAnsiTheme="minorHAnsi"/>
          <w:noProof/>
          <w:lang w:val="en-AU" w:eastAsia="en-AU"/>
        </w:rPr>
        <w:drawing>
          <wp:inline distT="0" distB="0" distL="0" distR="0" wp14:anchorId="7F4050E9" wp14:editId="616D009D">
            <wp:extent cx="5395912" cy="72047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2087" cy="7226391"/>
                    </a:xfrm>
                    <a:prstGeom prst="rect">
                      <a:avLst/>
                    </a:prstGeom>
                    <a:noFill/>
                  </pic:spPr>
                </pic:pic>
              </a:graphicData>
            </a:graphic>
          </wp:inline>
        </w:drawing>
      </w:r>
    </w:p>
    <w:p w14:paraId="18975F92" w14:textId="77777777" w:rsidR="008A6B53" w:rsidRPr="00F57573" w:rsidRDefault="008A6B53" w:rsidP="008A6B53">
      <w:pPr>
        <w:rPr>
          <w:rFonts w:asciiTheme="minorHAnsi" w:hAnsiTheme="minorHAnsi"/>
          <w:b/>
          <w:sz w:val="22"/>
          <w:szCs w:val="22"/>
        </w:rPr>
      </w:pPr>
      <w:r w:rsidRPr="00F57573">
        <w:rPr>
          <w:rFonts w:asciiTheme="minorHAnsi" w:hAnsiTheme="minorHAnsi"/>
          <w:b/>
          <w:sz w:val="22"/>
          <w:szCs w:val="22"/>
        </w:rPr>
        <w:lastRenderedPageBreak/>
        <w:t>Geographic Distribution of Disadvantage</w:t>
      </w:r>
    </w:p>
    <w:p w14:paraId="023A21A2" w14:textId="77777777" w:rsidR="008A6B53" w:rsidRPr="001C2963" w:rsidRDefault="008A6B53" w:rsidP="008A6B53">
      <w:pPr>
        <w:rPr>
          <w:rFonts w:asciiTheme="minorHAnsi" w:hAnsiTheme="minorHAnsi"/>
          <w:sz w:val="22"/>
          <w:szCs w:val="22"/>
        </w:rPr>
      </w:pPr>
    </w:p>
    <w:p w14:paraId="0B29032B" w14:textId="77777777" w:rsidR="008A6B53" w:rsidRPr="001C2963" w:rsidRDefault="008A6B53" w:rsidP="008A6B53">
      <w:pPr>
        <w:jc w:val="both"/>
        <w:rPr>
          <w:rFonts w:asciiTheme="minorHAnsi" w:hAnsiTheme="minorHAnsi"/>
          <w:sz w:val="22"/>
          <w:szCs w:val="22"/>
        </w:rPr>
      </w:pPr>
      <w:r w:rsidRPr="001C2963">
        <w:rPr>
          <w:rFonts w:asciiTheme="minorHAnsi" w:hAnsiTheme="minorHAnsi"/>
          <w:sz w:val="22"/>
          <w:szCs w:val="22"/>
        </w:rPr>
        <w:t>The accompanying map illustrates the geographic distribution of scores on the 2016 index, with lighter areas most disadvantaged, and the darker shaded areas least disadvantaged.</w:t>
      </w:r>
    </w:p>
    <w:p w14:paraId="3F6B4EC2" w14:textId="77777777" w:rsidR="008A6B53" w:rsidRPr="001C2963" w:rsidRDefault="008A6B53" w:rsidP="008A6B53">
      <w:pPr>
        <w:rPr>
          <w:rFonts w:asciiTheme="minorHAnsi" w:hAnsiTheme="minorHAnsi"/>
          <w:color w:val="7F7F7F" w:themeColor="text1" w:themeTint="80"/>
          <w:sz w:val="20"/>
          <w:szCs w:val="20"/>
        </w:rPr>
      </w:pPr>
    </w:p>
    <w:p w14:paraId="12B9338C" w14:textId="77777777" w:rsidR="008A6B53" w:rsidRPr="001C2963" w:rsidRDefault="008A6B53" w:rsidP="008A6B53">
      <w:pPr>
        <w:rPr>
          <w:rFonts w:asciiTheme="minorHAnsi" w:hAnsiTheme="minorHAnsi"/>
          <w:color w:val="7F7F7F" w:themeColor="text1" w:themeTint="80"/>
          <w:sz w:val="20"/>
          <w:szCs w:val="20"/>
        </w:rPr>
      </w:pPr>
      <w:r w:rsidRPr="001C2963">
        <w:rPr>
          <w:rFonts w:asciiTheme="minorHAnsi" w:hAnsiTheme="minorHAnsi"/>
          <w:color w:val="7F7F7F" w:themeColor="text1" w:themeTint="80"/>
          <w:sz w:val="20"/>
          <w:szCs w:val="20"/>
        </w:rPr>
        <w:t>Index of Relative Socio-economic Disadvantage across metropolitan Melbourne, 2016</w:t>
      </w:r>
    </w:p>
    <w:p w14:paraId="65FB4C90" w14:textId="77777777" w:rsidR="008A6B53" w:rsidRPr="001C2963" w:rsidRDefault="008A6B53" w:rsidP="008A6B53">
      <w:pPr>
        <w:pStyle w:val="ListParagraph"/>
        <w:ind w:left="0"/>
        <w:rPr>
          <w:rFonts w:asciiTheme="minorHAnsi" w:hAnsiTheme="minorHAnsi"/>
        </w:rPr>
      </w:pPr>
    </w:p>
    <w:p w14:paraId="74B50DD2" w14:textId="77777777" w:rsidR="008A6B53" w:rsidRPr="001C2963" w:rsidRDefault="008A6B53" w:rsidP="008A6B53">
      <w:pPr>
        <w:pStyle w:val="ListParagraph"/>
        <w:ind w:left="0"/>
        <w:jc w:val="center"/>
        <w:rPr>
          <w:rFonts w:asciiTheme="minorHAnsi" w:hAnsiTheme="minorHAnsi"/>
        </w:rPr>
      </w:pPr>
    </w:p>
    <w:p w14:paraId="60E02580" w14:textId="77777777" w:rsidR="008A6B53" w:rsidRPr="001C2963" w:rsidRDefault="008A6B53" w:rsidP="008A6B53">
      <w:pPr>
        <w:pStyle w:val="ListParagraph"/>
        <w:ind w:left="0"/>
        <w:jc w:val="center"/>
        <w:rPr>
          <w:rFonts w:asciiTheme="minorHAnsi" w:hAnsiTheme="minorHAnsi"/>
        </w:rPr>
      </w:pPr>
      <w:r w:rsidRPr="001C2963">
        <w:rPr>
          <w:rFonts w:asciiTheme="minorHAnsi" w:hAnsiTheme="minorHAnsi"/>
          <w:noProof/>
          <w:lang w:eastAsia="en-AU"/>
        </w:rPr>
        <w:drawing>
          <wp:inline distT="0" distB="0" distL="0" distR="0" wp14:anchorId="2DBD7E8C" wp14:editId="59AC8FD5">
            <wp:extent cx="5611169" cy="65341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EIFA 2016 Metro Melb Low Resolution.jpg"/>
                    <pic:cNvPicPr/>
                  </pic:nvPicPr>
                  <pic:blipFill rotWithShape="1">
                    <a:blip r:embed="rId17" cstate="print">
                      <a:extLst>
                        <a:ext uri="{28A0092B-C50C-407E-A947-70E740481C1C}">
                          <a14:useLocalDpi xmlns:a14="http://schemas.microsoft.com/office/drawing/2010/main" val="0"/>
                        </a:ext>
                      </a:extLst>
                    </a:blip>
                    <a:srcRect l="25194" t="7710" r="13596" b="1535"/>
                    <a:stretch/>
                  </pic:blipFill>
                  <pic:spPr bwMode="auto">
                    <a:xfrm>
                      <a:off x="0" y="0"/>
                      <a:ext cx="5622426" cy="654725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20B9537" w14:textId="77777777" w:rsidR="008A6B53" w:rsidRPr="001C2963" w:rsidRDefault="008A6B53" w:rsidP="008A6B53">
      <w:pPr>
        <w:pStyle w:val="ListParagraph"/>
        <w:ind w:left="0"/>
        <w:jc w:val="center"/>
        <w:rPr>
          <w:rFonts w:asciiTheme="minorHAnsi" w:hAnsiTheme="minorHAnsi"/>
        </w:rPr>
      </w:pPr>
    </w:p>
    <w:p w14:paraId="6168202B" w14:textId="77777777" w:rsidR="008A6B53" w:rsidRPr="001C2963" w:rsidRDefault="008A6B53" w:rsidP="008A6B53">
      <w:pPr>
        <w:pStyle w:val="ListParagraph"/>
        <w:ind w:left="0"/>
        <w:rPr>
          <w:rFonts w:asciiTheme="minorHAnsi" w:hAnsiTheme="minorHAnsi"/>
        </w:rPr>
      </w:pPr>
    </w:p>
    <w:p w14:paraId="72A6EC82" w14:textId="77777777" w:rsidR="008A6B53" w:rsidRPr="001C2963" w:rsidRDefault="008A6B53" w:rsidP="008A6B53">
      <w:pPr>
        <w:tabs>
          <w:tab w:val="left" w:pos="284"/>
        </w:tabs>
        <w:spacing w:before="60" w:line="360" w:lineRule="auto"/>
        <w:jc w:val="both"/>
        <w:rPr>
          <w:rFonts w:asciiTheme="minorHAnsi" w:hAnsiTheme="minorHAnsi"/>
          <w:color w:val="000000"/>
          <w:sz w:val="22"/>
          <w:szCs w:val="22"/>
        </w:rPr>
      </w:pPr>
    </w:p>
    <w:p w14:paraId="0A67CC96" w14:textId="77777777" w:rsidR="00632FB4" w:rsidRPr="008A6B53" w:rsidRDefault="00632FB4" w:rsidP="008A6B53">
      <w:bookmarkStart w:id="0" w:name="_GoBack"/>
      <w:bookmarkEnd w:id="0"/>
    </w:p>
    <w:sectPr w:rsidR="00632FB4" w:rsidRPr="008A6B53" w:rsidSect="006938F7">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89135" w14:textId="77777777" w:rsidR="0004139A" w:rsidRDefault="0004139A">
      <w:r>
        <w:separator/>
      </w:r>
    </w:p>
  </w:endnote>
  <w:endnote w:type="continuationSeparator" w:id="0">
    <w:p w14:paraId="2907A421" w14:textId="77777777" w:rsidR="0004139A" w:rsidRDefault="0004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613D4" w14:textId="77777777" w:rsidR="0004139A" w:rsidRDefault="0004139A">
      <w:r>
        <w:separator/>
      </w:r>
    </w:p>
  </w:footnote>
  <w:footnote w:type="continuationSeparator" w:id="0">
    <w:p w14:paraId="095C5CD8" w14:textId="77777777" w:rsidR="0004139A" w:rsidRDefault="00041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A6E35"/>
    <w:multiLevelType w:val="hybridMultilevel"/>
    <w:tmpl w:val="0F90592C"/>
    <w:lvl w:ilvl="0" w:tplc="DC22BC5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0D2704B"/>
    <w:multiLevelType w:val="hybridMultilevel"/>
    <w:tmpl w:val="81065D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491D3B"/>
    <w:multiLevelType w:val="hybridMultilevel"/>
    <w:tmpl w:val="4E30F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E27CA4"/>
    <w:multiLevelType w:val="hybridMultilevel"/>
    <w:tmpl w:val="74FC50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B85DC7"/>
    <w:multiLevelType w:val="hybridMultilevel"/>
    <w:tmpl w:val="D5301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AD3DA4"/>
    <w:multiLevelType w:val="hybridMultilevel"/>
    <w:tmpl w:val="125E158A"/>
    <w:lvl w:ilvl="0" w:tplc="FA9E47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B"/>
    <w:rsid w:val="00007072"/>
    <w:rsid w:val="00007521"/>
    <w:rsid w:val="00010DDC"/>
    <w:rsid w:val="0001290F"/>
    <w:rsid w:val="00012CFE"/>
    <w:rsid w:val="000134CA"/>
    <w:rsid w:val="00020A32"/>
    <w:rsid w:val="0003142B"/>
    <w:rsid w:val="0003164A"/>
    <w:rsid w:val="000340CB"/>
    <w:rsid w:val="00037AC0"/>
    <w:rsid w:val="0004065E"/>
    <w:rsid w:val="0004139A"/>
    <w:rsid w:val="00042813"/>
    <w:rsid w:val="000455C6"/>
    <w:rsid w:val="00047658"/>
    <w:rsid w:val="00055464"/>
    <w:rsid w:val="00057A02"/>
    <w:rsid w:val="00061EDD"/>
    <w:rsid w:val="0007326E"/>
    <w:rsid w:val="00074259"/>
    <w:rsid w:val="000745C6"/>
    <w:rsid w:val="00074DC2"/>
    <w:rsid w:val="00087021"/>
    <w:rsid w:val="000907B7"/>
    <w:rsid w:val="0009203B"/>
    <w:rsid w:val="00095373"/>
    <w:rsid w:val="000A066D"/>
    <w:rsid w:val="000A6091"/>
    <w:rsid w:val="000A7309"/>
    <w:rsid w:val="000B34FE"/>
    <w:rsid w:val="000C1672"/>
    <w:rsid w:val="000C20C6"/>
    <w:rsid w:val="000C603A"/>
    <w:rsid w:val="000C79F4"/>
    <w:rsid w:val="000C7C99"/>
    <w:rsid w:val="000D03B4"/>
    <w:rsid w:val="000D61CD"/>
    <w:rsid w:val="00103C8F"/>
    <w:rsid w:val="00105FC6"/>
    <w:rsid w:val="00107B1F"/>
    <w:rsid w:val="00110948"/>
    <w:rsid w:val="00115E38"/>
    <w:rsid w:val="001166D5"/>
    <w:rsid w:val="001259D8"/>
    <w:rsid w:val="00127A53"/>
    <w:rsid w:val="001302F2"/>
    <w:rsid w:val="00133042"/>
    <w:rsid w:val="00133166"/>
    <w:rsid w:val="00135D48"/>
    <w:rsid w:val="001367B5"/>
    <w:rsid w:val="00137750"/>
    <w:rsid w:val="001407F0"/>
    <w:rsid w:val="001431E7"/>
    <w:rsid w:val="00144850"/>
    <w:rsid w:val="001527DC"/>
    <w:rsid w:val="00171C31"/>
    <w:rsid w:val="00173D39"/>
    <w:rsid w:val="00187BBD"/>
    <w:rsid w:val="001A009E"/>
    <w:rsid w:val="001A40DC"/>
    <w:rsid w:val="001C2963"/>
    <w:rsid w:val="001D0EC7"/>
    <w:rsid w:val="001D5E01"/>
    <w:rsid w:val="001D7695"/>
    <w:rsid w:val="001F2374"/>
    <w:rsid w:val="001F430E"/>
    <w:rsid w:val="001F4C14"/>
    <w:rsid w:val="001F4D6C"/>
    <w:rsid w:val="001F5B1A"/>
    <w:rsid w:val="001F6ADB"/>
    <w:rsid w:val="0020012A"/>
    <w:rsid w:val="00200222"/>
    <w:rsid w:val="0020033D"/>
    <w:rsid w:val="00200378"/>
    <w:rsid w:val="00204692"/>
    <w:rsid w:val="0020605E"/>
    <w:rsid w:val="00222255"/>
    <w:rsid w:val="00231A47"/>
    <w:rsid w:val="00232743"/>
    <w:rsid w:val="002478DA"/>
    <w:rsid w:val="00254EFB"/>
    <w:rsid w:val="002636F9"/>
    <w:rsid w:val="00266B12"/>
    <w:rsid w:val="00280068"/>
    <w:rsid w:val="002809C9"/>
    <w:rsid w:val="0028130F"/>
    <w:rsid w:val="0028298F"/>
    <w:rsid w:val="0028474B"/>
    <w:rsid w:val="00287342"/>
    <w:rsid w:val="002977C7"/>
    <w:rsid w:val="002A0358"/>
    <w:rsid w:val="002A4379"/>
    <w:rsid w:val="002A5384"/>
    <w:rsid w:val="002C2242"/>
    <w:rsid w:val="002C3195"/>
    <w:rsid w:val="002C5970"/>
    <w:rsid w:val="002E01DD"/>
    <w:rsid w:val="002E1F3B"/>
    <w:rsid w:val="002E3815"/>
    <w:rsid w:val="002E4BDD"/>
    <w:rsid w:val="002E4C23"/>
    <w:rsid w:val="002F1F5B"/>
    <w:rsid w:val="003036B8"/>
    <w:rsid w:val="00306986"/>
    <w:rsid w:val="00311D89"/>
    <w:rsid w:val="003165B1"/>
    <w:rsid w:val="003344A4"/>
    <w:rsid w:val="00334F43"/>
    <w:rsid w:val="0033561F"/>
    <w:rsid w:val="00335CF5"/>
    <w:rsid w:val="00342C18"/>
    <w:rsid w:val="00345DC7"/>
    <w:rsid w:val="003611BC"/>
    <w:rsid w:val="00363A9F"/>
    <w:rsid w:val="0036409A"/>
    <w:rsid w:val="00367DE7"/>
    <w:rsid w:val="003711BD"/>
    <w:rsid w:val="003715B0"/>
    <w:rsid w:val="00392AD0"/>
    <w:rsid w:val="003940A9"/>
    <w:rsid w:val="003B4E7C"/>
    <w:rsid w:val="003B5FBA"/>
    <w:rsid w:val="003C472F"/>
    <w:rsid w:val="003C7262"/>
    <w:rsid w:val="003D0150"/>
    <w:rsid w:val="003F3B50"/>
    <w:rsid w:val="00412CC5"/>
    <w:rsid w:val="004222F4"/>
    <w:rsid w:val="00442DF6"/>
    <w:rsid w:val="004445C6"/>
    <w:rsid w:val="004504F6"/>
    <w:rsid w:val="00453ECB"/>
    <w:rsid w:val="00465871"/>
    <w:rsid w:val="004741B2"/>
    <w:rsid w:val="004804C6"/>
    <w:rsid w:val="0048777E"/>
    <w:rsid w:val="004900D8"/>
    <w:rsid w:val="004B2D93"/>
    <w:rsid w:val="004B3AC5"/>
    <w:rsid w:val="004C0961"/>
    <w:rsid w:val="004C09FA"/>
    <w:rsid w:val="004D1CD8"/>
    <w:rsid w:val="004D24FA"/>
    <w:rsid w:val="004D26B3"/>
    <w:rsid w:val="004E4C3D"/>
    <w:rsid w:val="004E5840"/>
    <w:rsid w:val="004F1170"/>
    <w:rsid w:val="004F2768"/>
    <w:rsid w:val="004F42DB"/>
    <w:rsid w:val="004F6602"/>
    <w:rsid w:val="00503BCE"/>
    <w:rsid w:val="00505639"/>
    <w:rsid w:val="00506152"/>
    <w:rsid w:val="00515390"/>
    <w:rsid w:val="005173BD"/>
    <w:rsid w:val="0052258A"/>
    <w:rsid w:val="00540F29"/>
    <w:rsid w:val="005446C1"/>
    <w:rsid w:val="005456BB"/>
    <w:rsid w:val="00546342"/>
    <w:rsid w:val="00551BED"/>
    <w:rsid w:val="00557014"/>
    <w:rsid w:val="00560B12"/>
    <w:rsid w:val="005645B9"/>
    <w:rsid w:val="0056676F"/>
    <w:rsid w:val="00572DCA"/>
    <w:rsid w:val="005771EB"/>
    <w:rsid w:val="00580C86"/>
    <w:rsid w:val="0058390C"/>
    <w:rsid w:val="0059070A"/>
    <w:rsid w:val="005A6544"/>
    <w:rsid w:val="005B75E4"/>
    <w:rsid w:val="005B7CEE"/>
    <w:rsid w:val="005C1469"/>
    <w:rsid w:val="005D2EC1"/>
    <w:rsid w:val="005D5253"/>
    <w:rsid w:val="005D7003"/>
    <w:rsid w:val="005E291D"/>
    <w:rsid w:val="005E53D8"/>
    <w:rsid w:val="005E6B34"/>
    <w:rsid w:val="00600964"/>
    <w:rsid w:val="00624E66"/>
    <w:rsid w:val="00632FB4"/>
    <w:rsid w:val="0063718B"/>
    <w:rsid w:val="00642C15"/>
    <w:rsid w:val="00643BBA"/>
    <w:rsid w:val="006465C0"/>
    <w:rsid w:val="006500CD"/>
    <w:rsid w:val="00654700"/>
    <w:rsid w:val="006745F7"/>
    <w:rsid w:val="006767FC"/>
    <w:rsid w:val="0069140F"/>
    <w:rsid w:val="006914C6"/>
    <w:rsid w:val="006938F7"/>
    <w:rsid w:val="00695320"/>
    <w:rsid w:val="00696217"/>
    <w:rsid w:val="006A1105"/>
    <w:rsid w:val="006A3700"/>
    <w:rsid w:val="006A4FE0"/>
    <w:rsid w:val="006C3947"/>
    <w:rsid w:val="006D0BD6"/>
    <w:rsid w:val="006D1D40"/>
    <w:rsid w:val="006D52D1"/>
    <w:rsid w:val="006D7DE0"/>
    <w:rsid w:val="006F39BC"/>
    <w:rsid w:val="006F65BB"/>
    <w:rsid w:val="00702384"/>
    <w:rsid w:val="00716A28"/>
    <w:rsid w:val="00717491"/>
    <w:rsid w:val="00717BB1"/>
    <w:rsid w:val="007236A9"/>
    <w:rsid w:val="00730F5D"/>
    <w:rsid w:val="00731883"/>
    <w:rsid w:val="007325E9"/>
    <w:rsid w:val="007331F5"/>
    <w:rsid w:val="00742365"/>
    <w:rsid w:val="0074679E"/>
    <w:rsid w:val="00753087"/>
    <w:rsid w:val="00754380"/>
    <w:rsid w:val="00765F3B"/>
    <w:rsid w:val="00772E6B"/>
    <w:rsid w:val="007738CA"/>
    <w:rsid w:val="00776154"/>
    <w:rsid w:val="00782033"/>
    <w:rsid w:val="0078525C"/>
    <w:rsid w:val="007A15B6"/>
    <w:rsid w:val="007A36E3"/>
    <w:rsid w:val="007B03AE"/>
    <w:rsid w:val="007B0DED"/>
    <w:rsid w:val="007C49DD"/>
    <w:rsid w:val="007E3E2D"/>
    <w:rsid w:val="007E5F32"/>
    <w:rsid w:val="007E6C10"/>
    <w:rsid w:val="007E7455"/>
    <w:rsid w:val="007F086E"/>
    <w:rsid w:val="007F57AC"/>
    <w:rsid w:val="00807EE9"/>
    <w:rsid w:val="00811AD1"/>
    <w:rsid w:val="008206C2"/>
    <w:rsid w:val="00825C9A"/>
    <w:rsid w:val="00835E82"/>
    <w:rsid w:val="008439B2"/>
    <w:rsid w:val="00846122"/>
    <w:rsid w:val="0084624F"/>
    <w:rsid w:val="00861138"/>
    <w:rsid w:val="008637CB"/>
    <w:rsid w:val="00880EDD"/>
    <w:rsid w:val="00887CAD"/>
    <w:rsid w:val="008921E4"/>
    <w:rsid w:val="008969AD"/>
    <w:rsid w:val="008A50DB"/>
    <w:rsid w:val="008A6B53"/>
    <w:rsid w:val="008B250A"/>
    <w:rsid w:val="008B5749"/>
    <w:rsid w:val="008C3BD3"/>
    <w:rsid w:val="008C78E5"/>
    <w:rsid w:val="008E4378"/>
    <w:rsid w:val="008F07D8"/>
    <w:rsid w:val="008F57C7"/>
    <w:rsid w:val="00900B16"/>
    <w:rsid w:val="00930A89"/>
    <w:rsid w:val="0093720C"/>
    <w:rsid w:val="00947A9F"/>
    <w:rsid w:val="00952531"/>
    <w:rsid w:val="00957123"/>
    <w:rsid w:val="00963A9D"/>
    <w:rsid w:val="009663DC"/>
    <w:rsid w:val="00966BD8"/>
    <w:rsid w:val="009764A0"/>
    <w:rsid w:val="009764B5"/>
    <w:rsid w:val="009778F8"/>
    <w:rsid w:val="00986163"/>
    <w:rsid w:val="009867EB"/>
    <w:rsid w:val="0099174A"/>
    <w:rsid w:val="009A065F"/>
    <w:rsid w:val="009A1B5A"/>
    <w:rsid w:val="009A7F5F"/>
    <w:rsid w:val="009B3779"/>
    <w:rsid w:val="009B61DB"/>
    <w:rsid w:val="009C01D8"/>
    <w:rsid w:val="009D5F03"/>
    <w:rsid w:val="00A06735"/>
    <w:rsid w:val="00A067C3"/>
    <w:rsid w:val="00A1211A"/>
    <w:rsid w:val="00A20352"/>
    <w:rsid w:val="00A314E1"/>
    <w:rsid w:val="00A35675"/>
    <w:rsid w:val="00A436F2"/>
    <w:rsid w:val="00A500BE"/>
    <w:rsid w:val="00A53358"/>
    <w:rsid w:val="00A53D0E"/>
    <w:rsid w:val="00A545E5"/>
    <w:rsid w:val="00A61BFA"/>
    <w:rsid w:val="00A6519C"/>
    <w:rsid w:val="00A655DB"/>
    <w:rsid w:val="00A75070"/>
    <w:rsid w:val="00A7536F"/>
    <w:rsid w:val="00A761AC"/>
    <w:rsid w:val="00A814B1"/>
    <w:rsid w:val="00A83A4C"/>
    <w:rsid w:val="00A92C12"/>
    <w:rsid w:val="00A936FC"/>
    <w:rsid w:val="00AA18F3"/>
    <w:rsid w:val="00AB4805"/>
    <w:rsid w:val="00AC5B9D"/>
    <w:rsid w:val="00AD7F8D"/>
    <w:rsid w:val="00AE0F00"/>
    <w:rsid w:val="00AE35E4"/>
    <w:rsid w:val="00AE512F"/>
    <w:rsid w:val="00AF40C0"/>
    <w:rsid w:val="00AF4BD8"/>
    <w:rsid w:val="00AF5934"/>
    <w:rsid w:val="00B058D7"/>
    <w:rsid w:val="00B06088"/>
    <w:rsid w:val="00B1698E"/>
    <w:rsid w:val="00B21635"/>
    <w:rsid w:val="00B24C25"/>
    <w:rsid w:val="00B31CC2"/>
    <w:rsid w:val="00B41162"/>
    <w:rsid w:val="00B47B65"/>
    <w:rsid w:val="00B54368"/>
    <w:rsid w:val="00B5585B"/>
    <w:rsid w:val="00B60DEA"/>
    <w:rsid w:val="00B62547"/>
    <w:rsid w:val="00B65BFA"/>
    <w:rsid w:val="00B667FF"/>
    <w:rsid w:val="00B733FC"/>
    <w:rsid w:val="00B74328"/>
    <w:rsid w:val="00B75665"/>
    <w:rsid w:val="00B76B4F"/>
    <w:rsid w:val="00B80C8B"/>
    <w:rsid w:val="00B90D2B"/>
    <w:rsid w:val="00B91285"/>
    <w:rsid w:val="00B95170"/>
    <w:rsid w:val="00BA3ECF"/>
    <w:rsid w:val="00BB5405"/>
    <w:rsid w:val="00BC2463"/>
    <w:rsid w:val="00BC4143"/>
    <w:rsid w:val="00BC7F27"/>
    <w:rsid w:val="00BD6ED3"/>
    <w:rsid w:val="00BE0265"/>
    <w:rsid w:val="00BE3F8E"/>
    <w:rsid w:val="00BE7017"/>
    <w:rsid w:val="00BE701C"/>
    <w:rsid w:val="00C00127"/>
    <w:rsid w:val="00C07FE8"/>
    <w:rsid w:val="00C1314C"/>
    <w:rsid w:val="00C17175"/>
    <w:rsid w:val="00C341FE"/>
    <w:rsid w:val="00C372B3"/>
    <w:rsid w:val="00C441F6"/>
    <w:rsid w:val="00C4640A"/>
    <w:rsid w:val="00C467AB"/>
    <w:rsid w:val="00C46FD2"/>
    <w:rsid w:val="00C506F6"/>
    <w:rsid w:val="00C61DB8"/>
    <w:rsid w:val="00C6239E"/>
    <w:rsid w:val="00C66FC0"/>
    <w:rsid w:val="00C674A2"/>
    <w:rsid w:val="00C75FAF"/>
    <w:rsid w:val="00C763F4"/>
    <w:rsid w:val="00C834F4"/>
    <w:rsid w:val="00C848FE"/>
    <w:rsid w:val="00C86063"/>
    <w:rsid w:val="00C907D0"/>
    <w:rsid w:val="00C925F9"/>
    <w:rsid w:val="00C94833"/>
    <w:rsid w:val="00CA1EC2"/>
    <w:rsid w:val="00CA3E66"/>
    <w:rsid w:val="00CA591C"/>
    <w:rsid w:val="00CB0097"/>
    <w:rsid w:val="00CB1847"/>
    <w:rsid w:val="00CB3688"/>
    <w:rsid w:val="00CC1CB2"/>
    <w:rsid w:val="00CD0458"/>
    <w:rsid w:val="00CD50EA"/>
    <w:rsid w:val="00CD7E7B"/>
    <w:rsid w:val="00CE1F07"/>
    <w:rsid w:val="00CE2585"/>
    <w:rsid w:val="00CF5632"/>
    <w:rsid w:val="00CF694A"/>
    <w:rsid w:val="00D0265B"/>
    <w:rsid w:val="00D0775F"/>
    <w:rsid w:val="00D107D5"/>
    <w:rsid w:val="00D2057D"/>
    <w:rsid w:val="00D20C26"/>
    <w:rsid w:val="00D23431"/>
    <w:rsid w:val="00D24DED"/>
    <w:rsid w:val="00D24FB6"/>
    <w:rsid w:val="00D30083"/>
    <w:rsid w:val="00D32616"/>
    <w:rsid w:val="00D35E42"/>
    <w:rsid w:val="00D372DA"/>
    <w:rsid w:val="00D41B9D"/>
    <w:rsid w:val="00D43766"/>
    <w:rsid w:val="00D4402E"/>
    <w:rsid w:val="00D44E6C"/>
    <w:rsid w:val="00D5160E"/>
    <w:rsid w:val="00D62761"/>
    <w:rsid w:val="00D95CE5"/>
    <w:rsid w:val="00D97B47"/>
    <w:rsid w:val="00DA2458"/>
    <w:rsid w:val="00DA247A"/>
    <w:rsid w:val="00DA5CAB"/>
    <w:rsid w:val="00DB1D45"/>
    <w:rsid w:val="00DB50F6"/>
    <w:rsid w:val="00DC56A6"/>
    <w:rsid w:val="00DC58BF"/>
    <w:rsid w:val="00DD3775"/>
    <w:rsid w:val="00DD5CEB"/>
    <w:rsid w:val="00DD7442"/>
    <w:rsid w:val="00DD74EF"/>
    <w:rsid w:val="00DE47BA"/>
    <w:rsid w:val="00DE58B0"/>
    <w:rsid w:val="00DF76D7"/>
    <w:rsid w:val="00E116E5"/>
    <w:rsid w:val="00E1317E"/>
    <w:rsid w:val="00E13D97"/>
    <w:rsid w:val="00E15C08"/>
    <w:rsid w:val="00E17BED"/>
    <w:rsid w:val="00E21254"/>
    <w:rsid w:val="00E257FA"/>
    <w:rsid w:val="00E36F41"/>
    <w:rsid w:val="00E64D38"/>
    <w:rsid w:val="00E671E8"/>
    <w:rsid w:val="00E7269B"/>
    <w:rsid w:val="00E72953"/>
    <w:rsid w:val="00E72F16"/>
    <w:rsid w:val="00E803FB"/>
    <w:rsid w:val="00E82B5B"/>
    <w:rsid w:val="00E84A97"/>
    <w:rsid w:val="00E875CB"/>
    <w:rsid w:val="00E93128"/>
    <w:rsid w:val="00E94C12"/>
    <w:rsid w:val="00EA39EA"/>
    <w:rsid w:val="00EB3166"/>
    <w:rsid w:val="00EB778C"/>
    <w:rsid w:val="00EC494F"/>
    <w:rsid w:val="00EC6184"/>
    <w:rsid w:val="00EC7F83"/>
    <w:rsid w:val="00ED035E"/>
    <w:rsid w:val="00ED2BA6"/>
    <w:rsid w:val="00ED579E"/>
    <w:rsid w:val="00F105BD"/>
    <w:rsid w:val="00F1264B"/>
    <w:rsid w:val="00F15CD9"/>
    <w:rsid w:val="00F16192"/>
    <w:rsid w:val="00F17419"/>
    <w:rsid w:val="00F2204C"/>
    <w:rsid w:val="00F33649"/>
    <w:rsid w:val="00F37268"/>
    <w:rsid w:val="00F46EF7"/>
    <w:rsid w:val="00F47F0C"/>
    <w:rsid w:val="00F504B5"/>
    <w:rsid w:val="00F50E9F"/>
    <w:rsid w:val="00F52FF1"/>
    <w:rsid w:val="00F57573"/>
    <w:rsid w:val="00F579ED"/>
    <w:rsid w:val="00F662FB"/>
    <w:rsid w:val="00F6654B"/>
    <w:rsid w:val="00F66C32"/>
    <w:rsid w:val="00F80D6F"/>
    <w:rsid w:val="00F85316"/>
    <w:rsid w:val="00F870E9"/>
    <w:rsid w:val="00F93CEF"/>
    <w:rsid w:val="00F97216"/>
    <w:rsid w:val="00FB3016"/>
    <w:rsid w:val="00FB3CF1"/>
    <w:rsid w:val="00FB48AB"/>
    <w:rsid w:val="00FB5931"/>
    <w:rsid w:val="00FB74C2"/>
    <w:rsid w:val="00FD6937"/>
    <w:rsid w:val="00FE383C"/>
    <w:rsid w:val="00FF0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93A98"/>
  <w15:docId w15:val="{80AC6658-A7D5-449A-AD82-30A41AD0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745C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F42DB"/>
    <w:rPr>
      <w:vertAlign w:val="superscript"/>
    </w:rPr>
  </w:style>
  <w:style w:type="paragraph" w:styleId="Header">
    <w:name w:val="header"/>
    <w:basedOn w:val="Normal"/>
    <w:rsid w:val="00C848FE"/>
    <w:pPr>
      <w:tabs>
        <w:tab w:val="center" w:pos="4320"/>
        <w:tab w:val="right" w:pos="8640"/>
      </w:tabs>
    </w:pPr>
  </w:style>
  <w:style w:type="paragraph" w:styleId="Footer">
    <w:name w:val="footer"/>
    <w:basedOn w:val="Normal"/>
    <w:rsid w:val="00C848FE"/>
    <w:pPr>
      <w:tabs>
        <w:tab w:val="center" w:pos="4320"/>
        <w:tab w:val="right" w:pos="8640"/>
      </w:tabs>
    </w:pPr>
  </w:style>
  <w:style w:type="character" w:styleId="PageNumber">
    <w:name w:val="page number"/>
    <w:basedOn w:val="DefaultParagraphFont"/>
    <w:rsid w:val="00C848FE"/>
  </w:style>
  <w:style w:type="paragraph" w:styleId="FootnoteText">
    <w:name w:val="footnote text"/>
    <w:basedOn w:val="Normal"/>
    <w:link w:val="FootnoteTextChar"/>
    <w:semiHidden/>
    <w:unhideWhenUsed/>
    <w:rsid w:val="00B06088"/>
    <w:pPr>
      <w:spacing w:after="200" w:line="276" w:lineRule="auto"/>
    </w:pPr>
    <w:rPr>
      <w:rFonts w:ascii="Calibri" w:eastAsia="Calibri" w:hAnsi="Calibri"/>
      <w:sz w:val="20"/>
      <w:szCs w:val="20"/>
    </w:rPr>
  </w:style>
  <w:style w:type="character" w:customStyle="1" w:styleId="FootnoteTextChar">
    <w:name w:val="Footnote Text Char"/>
    <w:link w:val="FootnoteText"/>
    <w:semiHidden/>
    <w:rsid w:val="00B06088"/>
    <w:rPr>
      <w:rFonts w:ascii="Calibri" w:eastAsia="Calibri" w:hAnsi="Calibri"/>
      <w:lang w:val="en-US" w:eastAsia="en-US" w:bidi="ar-SA"/>
    </w:rPr>
  </w:style>
  <w:style w:type="paragraph" w:styleId="Caption">
    <w:name w:val="caption"/>
    <w:basedOn w:val="Normal"/>
    <w:next w:val="Normal"/>
    <w:qFormat/>
    <w:rsid w:val="00B06088"/>
    <w:pPr>
      <w:spacing w:after="200" w:line="276" w:lineRule="auto"/>
    </w:pPr>
    <w:rPr>
      <w:rFonts w:ascii="Calibri" w:eastAsia="Calibri" w:hAnsi="Calibri"/>
      <w:b/>
      <w:bCs/>
      <w:sz w:val="20"/>
      <w:szCs w:val="20"/>
      <w:lang w:val="en-AU"/>
    </w:rPr>
  </w:style>
  <w:style w:type="character" w:styleId="Hyperlink">
    <w:name w:val="Hyperlink"/>
    <w:rsid w:val="00F97216"/>
    <w:rPr>
      <w:color w:val="0000FF"/>
      <w:u w:val="single"/>
    </w:rPr>
  </w:style>
  <w:style w:type="paragraph" w:styleId="NormalWeb">
    <w:name w:val="Normal (Web)"/>
    <w:basedOn w:val="Normal"/>
    <w:uiPriority w:val="99"/>
    <w:unhideWhenUsed/>
    <w:rsid w:val="00B41162"/>
    <w:pPr>
      <w:spacing w:before="100" w:beforeAutospacing="1" w:after="100" w:afterAutospacing="1"/>
    </w:pPr>
    <w:rPr>
      <w:lang w:val="en-AU" w:eastAsia="en-AU"/>
    </w:rPr>
  </w:style>
  <w:style w:type="paragraph" w:styleId="BalloonText">
    <w:name w:val="Balloon Text"/>
    <w:basedOn w:val="Normal"/>
    <w:link w:val="BalloonTextChar"/>
    <w:rsid w:val="00D4402E"/>
    <w:rPr>
      <w:rFonts w:ascii="Tahoma" w:hAnsi="Tahoma" w:cs="Tahoma"/>
      <w:sz w:val="16"/>
      <w:szCs w:val="16"/>
    </w:rPr>
  </w:style>
  <w:style w:type="character" w:customStyle="1" w:styleId="BalloonTextChar">
    <w:name w:val="Balloon Text Char"/>
    <w:link w:val="BalloonText"/>
    <w:rsid w:val="00D4402E"/>
    <w:rPr>
      <w:rFonts w:ascii="Tahoma" w:hAnsi="Tahoma" w:cs="Tahoma"/>
      <w:sz w:val="16"/>
      <w:szCs w:val="16"/>
      <w:lang w:val="en-US" w:eastAsia="en-US"/>
    </w:rPr>
  </w:style>
  <w:style w:type="paragraph" w:styleId="ListParagraph">
    <w:name w:val="List Paragraph"/>
    <w:basedOn w:val="Normal"/>
    <w:uiPriority w:val="34"/>
    <w:qFormat/>
    <w:rsid w:val="001C2963"/>
    <w:pPr>
      <w:ind w:left="720"/>
    </w:pPr>
    <w:rPr>
      <w:rFonts w:ascii="Calibri" w:eastAsiaTheme="minorHAnsi" w:hAnsi="Calibr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699598">
      <w:bodyDiv w:val="1"/>
      <w:marLeft w:val="0"/>
      <w:marRight w:val="0"/>
      <w:marTop w:val="0"/>
      <w:marBottom w:val="0"/>
      <w:divBdr>
        <w:top w:val="none" w:sz="0" w:space="0" w:color="auto"/>
        <w:left w:val="none" w:sz="0" w:space="0" w:color="auto"/>
        <w:bottom w:val="none" w:sz="0" w:space="0" w:color="auto"/>
        <w:right w:val="none" w:sz="0" w:space="0" w:color="auto"/>
      </w:divBdr>
    </w:div>
    <w:div w:id="688677110">
      <w:bodyDiv w:val="1"/>
      <w:marLeft w:val="0"/>
      <w:marRight w:val="0"/>
      <w:marTop w:val="0"/>
      <w:marBottom w:val="0"/>
      <w:divBdr>
        <w:top w:val="none" w:sz="0" w:space="0" w:color="auto"/>
        <w:left w:val="none" w:sz="0" w:space="0" w:color="auto"/>
        <w:bottom w:val="none" w:sz="0" w:space="0" w:color="auto"/>
        <w:right w:val="none" w:sz="0" w:space="0" w:color="auto"/>
      </w:divBdr>
    </w:div>
    <w:div w:id="729307198">
      <w:bodyDiv w:val="1"/>
      <w:marLeft w:val="0"/>
      <w:marRight w:val="0"/>
      <w:marTop w:val="0"/>
      <w:marBottom w:val="0"/>
      <w:divBdr>
        <w:top w:val="none" w:sz="0" w:space="0" w:color="auto"/>
        <w:left w:val="none" w:sz="0" w:space="0" w:color="auto"/>
        <w:bottom w:val="none" w:sz="0" w:space="0" w:color="auto"/>
        <w:right w:val="none" w:sz="0" w:space="0" w:color="auto"/>
      </w:divBdr>
    </w:div>
    <w:div w:id="1107775439">
      <w:bodyDiv w:val="1"/>
      <w:marLeft w:val="0"/>
      <w:marRight w:val="0"/>
      <w:marTop w:val="0"/>
      <w:marBottom w:val="0"/>
      <w:divBdr>
        <w:top w:val="none" w:sz="0" w:space="0" w:color="auto"/>
        <w:left w:val="none" w:sz="0" w:space="0" w:color="auto"/>
        <w:bottom w:val="none" w:sz="0" w:space="0" w:color="auto"/>
        <w:right w:val="none" w:sz="0" w:space="0" w:color="auto"/>
      </w:divBdr>
    </w:div>
    <w:div w:id="1258100720">
      <w:bodyDiv w:val="1"/>
      <w:marLeft w:val="0"/>
      <w:marRight w:val="0"/>
      <w:marTop w:val="0"/>
      <w:marBottom w:val="0"/>
      <w:divBdr>
        <w:top w:val="none" w:sz="0" w:space="0" w:color="auto"/>
        <w:left w:val="none" w:sz="0" w:space="0" w:color="auto"/>
        <w:bottom w:val="none" w:sz="0" w:space="0" w:color="auto"/>
        <w:right w:val="none" w:sz="0" w:space="0" w:color="auto"/>
      </w:divBdr>
    </w:div>
    <w:div w:id="1440490035">
      <w:bodyDiv w:val="1"/>
      <w:marLeft w:val="0"/>
      <w:marRight w:val="0"/>
      <w:marTop w:val="0"/>
      <w:marBottom w:val="0"/>
      <w:divBdr>
        <w:top w:val="none" w:sz="0" w:space="0" w:color="auto"/>
        <w:left w:val="none" w:sz="0" w:space="0" w:color="auto"/>
        <w:bottom w:val="none" w:sz="0" w:space="0" w:color="auto"/>
        <w:right w:val="none" w:sz="0" w:space="0" w:color="auto"/>
      </w:divBdr>
    </w:div>
    <w:div w:id="170894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image" Target="media/image10.jpg" Id="rId17"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3.jpe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7.jpeg" Id="rId14" /><Relationship Type="http://schemas.openxmlformats.org/officeDocument/2006/relationships/customXml" Target="/customXml/item2.xml" Id="R5f3d621d3f3d48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A6819544</value>
    </field>
    <field name="Objective-Title">
      <value order="0">K Incomes and Social Disadvantage</value>
    </field>
    <field name="Objective-Description">
      <value order="0"/>
    </field>
    <field name="Objective-CreationStamp">
      <value order="0">2020-08-30T21:38:06Z</value>
    </field>
    <field name="Objective-IsApproved">
      <value order="0">false</value>
    </field>
    <field name="Objective-IsPublished">
      <value order="0">true</value>
    </field>
    <field name="Objective-DatePublished">
      <value order="0">2021-04-23T02:44:07Z</value>
    </field>
    <field name="Objective-ModificationStamp">
      <value order="0">2021-04-23T02:44:07Z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vA9844430</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 Profile of Health and Wellbeing in Greater Dandenong</vt:lpstr>
    </vt:vector>
  </TitlesOfParts>
  <Company>City of Greater Dandenong</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Profile of Health and Wellbeing in Greater Dandenong</dc:title>
  <dc:creator>hbrown</dc:creator>
  <cp:lastModifiedBy>Hayden Brown</cp:lastModifiedBy>
  <cp:revision>3</cp:revision>
  <cp:lastPrinted>2017-08-10T08:02:00Z</cp:lastPrinted>
  <dcterms:created xsi:type="dcterms:W3CDTF">2020-08-23T12:28:00Z</dcterms:created>
  <dcterms:modified xsi:type="dcterms:W3CDTF">2021-04-23T02:44:00Z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A6819544</vt:lpwstr>
  </op:property>
  <op:property fmtid="{D5CDD505-2E9C-101B-9397-08002B2CF9AE}" pid="6" name="Objective-Title">
    <vt:lpwstr>K Incomes and Social Disadvantage</vt:lpwstr>
  </op:property>
  <op:property fmtid="{D5CDD505-2E9C-101B-9397-08002B2CF9AE}" pid="7" name="Objective-Description">
    <vt:lpwstr/>
  </op:property>
  <op:property fmtid="{D5CDD505-2E9C-101B-9397-08002B2CF9AE}" pid="8" name="Objective-CreationStamp">
    <vt:filetime>2020-08-30T21:38:06Z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2021-04-23T02:44:07Z</vt:filetime>
  </op:property>
  <op:property fmtid="{D5CDD505-2E9C-101B-9397-08002B2CF9AE}" pid="12" name="Objective-ModificationStamp">
    <vt:filetime>2021-04-23T02:44:07Z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vA9844430</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