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1B2FC" w14:textId="77777777" w:rsidR="00110D98" w:rsidRPr="0043051E" w:rsidRDefault="00110D98" w:rsidP="00110D98">
      <w:pPr>
        <w:pBdr>
          <w:top w:val="single" w:sz="4" w:space="0" w:color="auto"/>
          <w:bottom w:val="single" w:sz="4" w:space="1" w:color="auto"/>
        </w:pBdr>
        <w:tabs>
          <w:tab w:val="center" w:pos="4678"/>
        </w:tabs>
        <w:jc w:val="center"/>
        <w:rPr>
          <w:rFonts w:ascii="Calibri" w:eastAsia="Times New Roman" w:hAnsi="Calibri"/>
          <w:noProof/>
          <w:sz w:val="32"/>
          <w:szCs w:val="32"/>
        </w:rPr>
      </w:pPr>
      <w:r>
        <w:rPr>
          <w:rFonts w:ascii="Calibri" w:eastAsia="Times New Roman" w:hAnsi="Calibri"/>
          <w:noProof/>
          <w:sz w:val="32"/>
          <w:szCs w:val="32"/>
        </w:rPr>
        <w:t>Housing</w:t>
      </w:r>
    </w:p>
    <w:p w14:paraId="196C78B1" w14:textId="77777777" w:rsidR="00110D98" w:rsidRPr="0043051E" w:rsidRDefault="00110D98" w:rsidP="00110D98">
      <w:pPr>
        <w:jc w:val="center"/>
        <w:rPr>
          <w:rFonts w:ascii="Calibri" w:hAnsi="Calibri"/>
          <w:sz w:val="10"/>
          <w:szCs w:val="10"/>
        </w:rPr>
      </w:pPr>
      <w:r w:rsidRPr="00803EF5">
        <w:rPr>
          <w:rFonts w:ascii="Calibri" w:hAnsi="Calibri"/>
          <w:noProof/>
          <w:lang w:eastAsia="en-AU"/>
        </w:rPr>
        <w:drawing>
          <wp:anchor distT="0" distB="0" distL="114300" distR="114300" simplePos="0" relativeHeight="251665408" behindDoc="1" locked="0" layoutInCell="1" allowOverlap="1" wp14:anchorId="66BB46BF" wp14:editId="3995F11E">
            <wp:simplePos x="0" y="0"/>
            <wp:positionH relativeFrom="column">
              <wp:posOffset>3928110</wp:posOffset>
            </wp:positionH>
            <wp:positionV relativeFrom="paragraph">
              <wp:posOffset>53975</wp:posOffset>
            </wp:positionV>
            <wp:extent cx="2207895" cy="1487170"/>
            <wp:effectExtent l="0" t="0" r="1905" b="0"/>
            <wp:wrapTight wrapText="bothSides">
              <wp:wrapPolygon edited="0">
                <wp:start x="745" y="0"/>
                <wp:lineTo x="0" y="553"/>
                <wp:lineTo x="0" y="21028"/>
                <wp:lineTo x="745" y="21305"/>
                <wp:lineTo x="20687" y="21305"/>
                <wp:lineTo x="21432" y="21028"/>
                <wp:lineTo x="21432" y="553"/>
                <wp:lineTo x="20687" y="0"/>
                <wp:lineTo x="745" y="0"/>
              </wp:wrapPolygon>
            </wp:wrapTight>
            <wp:docPr id="103" name="Picture 73" descr="Hous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 2.jpg"/>
                    <pic:cNvPicPr/>
                  </pic:nvPicPr>
                  <pic:blipFill>
                    <a:blip r:embed="rId9" cstate="print"/>
                    <a:srcRect l="4528" t="10189" r="7453" b="11321"/>
                    <a:stretch>
                      <a:fillRect/>
                    </a:stretch>
                  </pic:blipFill>
                  <pic:spPr>
                    <a:xfrm>
                      <a:off x="0" y="0"/>
                      <a:ext cx="2207895" cy="1487170"/>
                    </a:xfrm>
                    <a:prstGeom prst="rect">
                      <a:avLst/>
                    </a:prstGeom>
                    <a:ln>
                      <a:noFill/>
                    </a:ln>
                    <a:effectLst>
                      <a:softEdge rad="112500"/>
                    </a:effectLst>
                  </pic:spPr>
                </pic:pic>
              </a:graphicData>
            </a:graphic>
          </wp:anchor>
        </w:drawing>
      </w:r>
    </w:p>
    <w:p w14:paraId="715EDD9D" w14:textId="77777777" w:rsidR="00110D98" w:rsidRPr="00E94DD1" w:rsidRDefault="00110D98" w:rsidP="00110D98">
      <w:pPr>
        <w:pStyle w:val="IntroParagraphtoeachChapter"/>
        <w:pBdr>
          <w:bottom w:val="none" w:sz="0" w:space="0" w:color="auto"/>
        </w:pBdr>
        <w:spacing w:line="360" w:lineRule="auto"/>
        <w:rPr>
          <w:rFonts w:ascii="Calibri" w:hAnsi="Calibri"/>
          <w:b/>
        </w:rPr>
      </w:pPr>
      <w:r w:rsidRPr="00E94DD1">
        <w:rPr>
          <w:rFonts w:ascii="Calibri" w:hAnsi="Calibri"/>
          <w:b/>
        </w:rPr>
        <w:t>Housing Structure</w:t>
      </w:r>
    </w:p>
    <w:p w14:paraId="5F68BC88" w14:textId="77777777" w:rsidR="00110D98" w:rsidRDefault="00110D98" w:rsidP="00110D98">
      <w:pPr>
        <w:pStyle w:val="IntroParagraphtoeachChapter"/>
        <w:pBdr>
          <w:bottom w:val="none" w:sz="0" w:space="0" w:color="auto"/>
        </w:pBdr>
        <w:spacing w:line="360" w:lineRule="auto"/>
        <w:rPr>
          <w:rFonts w:ascii="Calibri" w:hAnsi="Calibri"/>
        </w:rPr>
      </w:pPr>
      <w:r w:rsidRPr="00E94DD1">
        <w:rPr>
          <w:rFonts w:ascii="Calibri" w:hAnsi="Calibri"/>
        </w:rPr>
        <w:t>In 201</w:t>
      </w:r>
      <w:r>
        <w:rPr>
          <w:rFonts w:ascii="Calibri" w:hAnsi="Calibri"/>
        </w:rPr>
        <w:t>6</w:t>
      </w:r>
      <w:r w:rsidRPr="00E94DD1">
        <w:rPr>
          <w:rFonts w:ascii="Calibri" w:hAnsi="Calibri"/>
        </w:rPr>
        <w:t xml:space="preserve">, 70% of households in Greater Dandenong were detached, </w:t>
      </w:r>
      <w:r>
        <w:rPr>
          <w:rFonts w:ascii="Calibri" w:hAnsi="Calibri"/>
        </w:rPr>
        <w:t>11</w:t>
      </w:r>
      <w:r w:rsidRPr="00E94DD1">
        <w:rPr>
          <w:rFonts w:ascii="Calibri" w:hAnsi="Calibri"/>
        </w:rPr>
        <w:t xml:space="preserve">% flats and </w:t>
      </w:r>
      <w:r>
        <w:rPr>
          <w:rFonts w:ascii="Calibri" w:hAnsi="Calibri"/>
        </w:rPr>
        <w:t>1</w:t>
      </w:r>
      <w:r w:rsidRPr="00E94DD1">
        <w:rPr>
          <w:rFonts w:ascii="Calibri" w:hAnsi="Calibri"/>
        </w:rPr>
        <w:t xml:space="preserve">7% semi-detached. </w:t>
      </w:r>
      <w:r>
        <w:rPr>
          <w:rFonts w:ascii="Calibri" w:hAnsi="Calibri"/>
        </w:rPr>
        <w:t>During the decade to 2016, the number of detached dwellings in Greater Dandenong rose by approximately 5,000 and the number of semi-detached dwellings by nearly 6,000, while the number of flats declined by 3,700.</w:t>
      </w:r>
      <w:r w:rsidRPr="00E94DD1">
        <w:rPr>
          <w:rFonts w:ascii="Calibri" w:hAnsi="Calibri"/>
        </w:rPr>
        <w:t xml:space="preserve"> </w:t>
      </w:r>
    </w:p>
    <w:p w14:paraId="501587D8" w14:textId="77777777" w:rsidR="00110D98" w:rsidRDefault="00110D98" w:rsidP="00110D98">
      <w:pPr>
        <w:pStyle w:val="IntroParagraphtoeachChapter"/>
        <w:pBdr>
          <w:bottom w:val="none" w:sz="0" w:space="0" w:color="auto"/>
        </w:pBdr>
        <w:spacing w:line="360" w:lineRule="auto"/>
        <w:rPr>
          <w:rFonts w:ascii="Calibri" w:hAnsi="Calibri"/>
        </w:rPr>
      </w:pPr>
      <w:r w:rsidRPr="00E94DD1">
        <w:rPr>
          <w:rFonts w:ascii="Calibri" w:hAnsi="Calibri"/>
        </w:rPr>
        <w:t>The distribution of housing structure varies across</w:t>
      </w:r>
      <w:r>
        <w:rPr>
          <w:rFonts w:ascii="Calibri" w:hAnsi="Calibri"/>
        </w:rPr>
        <w:t xml:space="preserve"> the</w:t>
      </w:r>
      <w:r w:rsidRPr="00E94DD1">
        <w:rPr>
          <w:rFonts w:ascii="Calibri" w:hAnsi="Calibri"/>
        </w:rPr>
        <w:t xml:space="preserve"> </w:t>
      </w:r>
      <w:r>
        <w:rPr>
          <w:rFonts w:ascii="Calibri" w:hAnsi="Calibri"/>
        </w:rPr>
        <w:t>metropolitan area</w:t>
      </w:r>
      <w:r w:rsidRPr="00E94DD1">
        <w:rPr>
          <w:rFonts w:ascii="Calibri" w:hAnsi="Calibri"/>
        </w:rPr>
        <w:t xml:space="preserve">: </w:t>
      </w:r>
      <w:r>
        <w:rPr>
          <w:rFonts w:ascii="Calibri" w:hAnsi="Calibri"/>
        </w:rPr>
        <w:t>85% of</w:t>
      </w:r>
      <w:r w:rsidRPr="00E94DD1">
        <w:rPr>
          <w:rFonts w:ascii="Calibri" w:hAnsi="Calibri"/>
        </w:rPr>
        <w:t xml:space="preserve"> dwellings in </w:t>
      </w:r>
      <w:r>
        <w:rPr>
          <w:rFonts w:ascii="Calibri" w:hAnsi="Calibri"/>
        </w:rPr>
        <w:t>Melbourne</w:t>
      </w:r>
      <w:r w:rsidRPr="00E94DD1">
        <w:rPr>
          <w:rFonts w:ascii="Calibri" w:hAnsi="Calibri"/>
        </w:rPr>
        <w:t xml:space="preserve"> are </w:t>
      </w:r>
      <w:r>
        <w:rPr>
          <w:rFonts w:ascii="Calibri" w:hAnsi="Calibri"/>
        </w:rPr>
        <w:t>flats</w:t>
      </w:r>
      <w:r w:rsidRPr="00E94DD1">
        <w:rPr>
          <w:rFonts w:ascii="Calibri" w:hAnsi="Calibri"/>
        </w:rPr>
        <w:t xml:space="preserve">, compared with </w:t>
      </w:r>
      <w:r>
        <w:rPr>
          <w:rFonts w:ascii="Calibri" w:hAnsi="Calibri"/>
        </w:rPr>
        <w:t xml:space="preserve">just 0.5% in </w:t>
      </w:r>
      <w:proofErr w:type="spellStart"/>
      <w:r>
        <w:rPr>
          <w:rFonts w:ascii="Calibri" w:hAnsi="Calibri"/>
        </w:rPr>
        <w:t>Cardinia</w:t>
      </w:r>
      <w:proofErr w:type="spellEnd"/>
      <w:r>
        <w:rPr>
          <w:rFonts w:ascii="Calibri" w:hAnsi="Calibri"/>
        </w:rPr>
        <w:t>. Flats tend to be concentrated among the inner-urban areas, though also in sections of Springvale, Noble Park and Dandenong within Greater Dandenong, particularly in proximity to transport corridors.</w:t>
      </w:r>
    </w:p>
    <w:p w14:paraId="65094C86" w14:textId="77777777" w:rsidR="00110D98" w:rsidRDefault="00110D98" w:rsidP="00110D98">
      <w:pPr>
        <w:pStyle w:val="IntroParagraphtoeachChapter"/>
        <w:pBdr>
          <w:bottom w:val="none" w:sz="0" w:space="0" w:color="auto"/>
        </w:pBdr>
        <w:spacing w:before="0"/>
        <w:jc w:val="left"/>
        <w:rPr>
          <w:rFonts w:ascii="Calibri" w:hAnsi="Calibri"/>
        </w:rPr>
      </w:pPr>
      <w:r w:rsidRPr="00190B5D">
        <w:rPr>
          <w:rFonts w:ascii="Calibri" w:hAnsi="Calibri"/>
          <w:color w:val="7F7F7F"/>
          <w:sz w:val="18"/>
          <w:szCs w:val="18"/>
        </w:rPr>
        <w:t xml:space="preserve">Distribution of </w:t>
      </w:r>
      <w:r>
        <w:rPr>
          <w:rFonts w:ascii="Calibri" w:hAnsi="Calibri"/>
          <w:color w:val="7F7F7F"/>
          <w:sz w:val="18"/>
          <w:szCs w:val="18"/>
        </w:rPr>
        <w:t>Flats and Units: Metropolitan Melbourne, 2016</w:t>
      </w:r>
    </w:p>
    <w:p w14:paraId="30C98F77" w14:textId="77777777" w:rsidR="00110D98" w:rsidRDefault="00110D98" w:rsidP="00110D98">
      <w:pPr>
        <w:pStyle w:val="IntroParagraphtoeachChapter"/>
        <w:pBdr>
          <w:bottom w:val="none" w:sz="0" w:space="0" w:color="auto"/>
        </w:pBdr>
        <w:spacing w:before="0"/>
        <w:jc w:val="center"/>
        <w:rPr>
          <w:rFonts w:ascii="Calibri" w:hAnsi="Calibri"/>
        </w:rPr>
      </w:pPr>
      <w:r>
        <w:rPr>
          <w:rFonts w:ascii="Calibri" w:hAnsi="Calibri"/>
          <w:noProof/>
          <w:lang w:val="en-AU" w:eastAsia="en-AU"/>
        </w:rPr>
        <w:drawing>
          <wp:inline distT="0" distB="0" distL="0" distR="0" wp14:anchorId="484FDCAC" wp14:editId="3AD184FB">
            <wp:extent cx="5181600" cy="5978894"/>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Dwellings Flats as % Dwellings 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1600" cy="5978894"/>
                    </a:xfrm>
                    <a:prstGeom prst="rect">
                      <a:avLst/>
                    </a:prstGeom>
                    <a:ln>
                      <a:noFill/>
                    </a:ln>
                    <a:effectLst>
                      <a:softEdge rad="112500"/>
                    </a:effectLst>
                  </pic:spPr>
                </pic:pic>
              </a:graphicData>
            </a:graphic>
          </wp:inline>
        </w:drawing>
      </w:r>
    </w:p>
    <w:p w14:paraId="3F919974" w14:textId="77777777" w:rsidR="00110D98" w:rsidRPr="00190B5D" w:rsidRDefault="00110D98" w:rsidP="00110D98">
      <w:pPr>
        <w:pStyle w:val="IntroParagraphtoeachChapter"/>
        <w:pBdr>
          <w:bottom w:val="none" w:sz="0" w:space="0" w:color="auto"/>
        </w:pBdr>
        <w:tabs>
          <w:tab w:val="left" w:pos="4962"/>
        </w:tabs>
        <w:spacing w:before="0"/>
        <w:rPr>
          <w:rFonts w:ascii="Calibri" w:hAnsi="Calibri"/>
          <w:color w:val="7F7F7F"/>
          <w:sz w:val="18"/>
          <w:szCs w:val="18"/>
        </w:rPr>
      </w:pPr>
      <w:r w:rsidRPr="00E94DD1">
        <w:rPr>
          <w:rFonts w:ascii="Calibri" w:hAnsi="Calibri"/>
          <w:b/>
        </w:rPr>
        <w:lastRenderedPageBreak/>
        <w:t>Housing Tenure</w:t>
      </w:r>
      <w:r>
        <w:rPr>
          <w:rFonts w:ascii="Calibri" w:hAnsi="Calibri"/>
          <w:b/>
        </w:rPr>
        <w:t xml:space="preserve"> </w:t>
      </w:r>
      <w:r>
        <w:rPr>
          <w:rFonts w:ascii="Calibri" w:hAnsi="Calibri"/>
          <w:b/>
        </w:rPr>
        <w:tab/>
      </w:r>
    </w:p>
    <w:p w14:paraId="4FB8CD15" w14:textId="77777777" w:rsidR="00110D98" w:rsidRDefault="00110D98" w:rsidP="00110D98">
      <w:pPr>
        <w:spacing w:line="360" w:lineRule="auto"/>
        <w:jc w:val="both"/>
        <w:rPr>
          <w:rFonts w:ascii="Calibri" w:hAnsi="Calibri"/>
        </w:rPr>
      </w:pPr>
      <w:r w:rsidRPr="00E94DD1">
        <w:rPr>
          <w:rFonts w:ascii="Calibri" w:hAnsi="Calibri"/>
        </w:rPr>
        <w:t>In 201</w:t>
      </w:r>
      <w:r>
        <w:rPr>
          <w:rFonts w:ascii="Calibri" w:hAnsi="Calibri"/>
        </w:rPr>
        <w:t>6</w:t>
      </w:r>
      <w:r w:rsidRPr="00E94DD1">
        <w:rPr>
          <w:rFonts w:ascii="Calibri" w:hAnsi="Calibri"/>
        </w:rPr>
        <w:t xml:space="preserve">, </w:t>
      </w:r>
      <w:r>
        <w:rPr>
          <w:rFonts w:ascii="Calibri" w:hAnsi="Calibri"/>
        </w:rPr>
        <w:t xml:space="preserve">over half (54%) of </w:t>
      </w:r>
      <w:r w:rsidRPr="00E94DD1">
        <w:rPr>
          <w:rFonts w:ascii="Calibri" w:hAnsi="Calibri"/>
        </w:rPr>
        <w:t xml:space="preserve">private dwellings in Greater Dandenong were either owned or being purchased by their occupants </w:t>
      </w:r>
      <w:r>
        <w:rPr>
          <w:rFonts w:ascii="Calibri" w:hAnsi="Calibri"/>
        </w:rPr>
        <w:t>– a decline from 65% in 2011. Across metropolitan Melbourne, a slightly higher proportion of homes (57%), were owned or being purchased</w:t>
      </w:r>
      <w:r w:rsidRPr="00E94DD1">
        <w:rPr>
          <w:rFonts w:ascii="Calibri" w:eastAsia="Times New Roman" w:hAnsi="Calibri"/>
          <w:lang w:val="en-US"/>
        </w:rPr>
        <w:t>.</w:t>
      </w:r>
      <w:r w:rsidRPr="00E94DD1">
        <w:rPr>
          <w:rFonts w:ascii="Calibri" w:hAnsi="Calibri"/>
        </w:rPr>
        <w:t xml:space="preserve"> </w:t>
      </w:r>
      <w:bookmarkStart w:id="0" w:name="_Hlk23238916"/>
      <w:r>
        <w:rPr>
          <w:rFonts w:ascii="Calibri" w:hAnsi="Calibri"/>
        </w:rPr>
        <w:t>In Greater Dandenong, 31.2% of dwellings are rented, compared with 26.3% across Victoria.</w:t>
      </w:r>
      <w:bookmarkEnd w:id="0"/>
    </w:p>
    <w:p w14:paraId="7FA08594" w14:textId="77777777" w:rsidR="00110D98" w:rsidRDefault="00110D98" w:rsidP="00110D98">
      <w:pPr>
        <w:pStyle w:val="IntroParagraphtoeachChapter"/>
        <w:pBdr>
          <w:bottom w:val="none" w:sz="0" w:space="0" w:color="auto"/>
        </w:pBdr>
        <w:tabs>
          <w:tab w:val="left" w:pos="5529"/>
        </w:tabs>
        <w:spacing w:line="360" w:lineRule="auto"/>
        <w:rPr>
          <w:rFonts w:ascii="Calibri" w:hAnsi="Calibri"/>
        </w:rPr>
      </w:pPr>
      <w:r>
        <w:rPr>
          <w:rFonts w:ascii="Calibri" w:hAnsi="Calibri"/>
        </w:rPr>
        <w:t>In Greater Dandenong, h</w:t>
      </w:r>
      <w:r w:rsidRPr="00E94DD1">
        <w:rPr>
          <w:rFonts w:ascii="Calibri" w:hAnsi="Calibri"/>
        </w:rPr>
        <w:t>ome ownership levels are lowest among recent settlers</w:t>
      </w:r>
      <w:r>
        <w:rPr>
          <w:rFonts w:ascii="Calibri" w:hAnsi="Calibri"/>
        </w:rPr>
        <w:t>:</w:t>
      </w:r>
      <w:r w:rsidRPr="00E94DD1">
        <w:rPr>
          <w:rFonts w:ascii="Calibri" w:hAnsi="Calibri"/>
        </w:rPr>
        <w:t xml:space="preserve"> 90% of Sudanese residents and over 75% of those from Afgh</w:t>
      </w:r>
      <w:r>
        <w:rPr>
          <w:rFonts w:ascii="Calibri" w:hAnsi="Calibri"/>
        </w:rPr>
        <w:t>anistan, Samoa, Burma, Pakistan and Iran rent</w:t>
      </w:r>
      <w:r w:rsidRPr="00E94DD1">
        <w:rPr>
          <w:rFonts w:ascii="Calibri" w:hAnsi="Calibri"/>
        </w:rPr>
        <w:t xml:space="preserve"> their accommodation, compared with fewer than one in </w:t>
      </w:r>
      <w:r>
        <w:rPr>
          <w:rFonts w:ascii="Calibri" w:hAnsi="Calibri"/>
        </w:rPr>
        <w:t>five</w:t>
      </w:r>
      <w:r w:rsidRPr="00E94DD1">
        <w:rPr>
          <w:rFonts w:ascii="Calibri" w:hAnsi="Calibri"/>
        </w:rPr>
        <w:t xml:space="preserve"> from </w:t>
      </w:r>
      <w:r>
        <w:rPr>
          <w:rFonts w:ascii="Calibri" w:hAnsi="Calibri"/>
        </w:rPr>
        <w:t>China, Vietnam, Cambodia, Greece, Croatia or Italy</w:t>
      </w:r>
      <w:r w:rsidRPr="00E94DD1">
        <w:rPr>
          <w:rFonts w:ascii="Calibri" w:hAnsi="Calibri"/>
        </w:rPr>
        <w:t xml:space="preserve"> </w:t>
      </w:r>
      <w:r>
        <w:rPr>
          <w:rFonts w:ascii="Calibri" w:hAnsi="Calibri"/>
        </w:rPr>
        <w:t>(accompanying diagram).</w:t>
      </w:r>
    </w:p>
    <w:p w14:paraId="4C316EA2" w14:textId="77777777" w:rsidR="00110D98" w:rsidRDefault="00110D98" w:rsidP="00110D98">
      <w:pPr>
        <w:spacing w:line="360" w:lineRule="auto"/>
        <w:jc w:val="both"/>
        <w:rPr>
          <w:rFonts w:ascii="Calibri" w:hAnsi="Calibri"/>
        </w:rPr>
      </w:pPr>
    </w:p>
    <w:p w14:paraId="1F6E1E09" w14:textId="77777777" w:rsidR="00110D98" w:rsidRDefault="00110D98" w:rsidP="00110D98">
      <w:pPr>
        <w:spacing w:line="360" w:lineRule="auto"/>
        <w:jc w:val="both"/>
        <w:rPr>
          <w:rFonts w:ascii="Calibri" w:hAnsi="Calibri"/>
        </w:rPr>
      </w:pPr>
    </w:p>
    <w:p w14:paraId="5E83094C" w14:textId="77777777" w:rsidR="00110D98" w:rsidRPr="00190B5D" w:rsidRDefault="00110D98" w:rsidP="00110D98">
      <w:pPr>
        <w:pStyle w:val="IntroParagraphtoeachChapter"/>
        <w:pBdr>
          <w:bottom w:val="none" w:sz="0" w:space="0" w:color="auto"/>
        </w:pBdr>
        <w:spacing w:before="0"/>
        <w:rPr>
          <w:rFonts w:ascii="Calibri" w:hAnsi="Calibri"/>
          <w:color w:val="7F7F7F"/>
          <w:sz w:val="18"/>
          <w:szCs w:val="18"/>
        </w:rPr>
      </w:pPr>
      <w:r w:rsidRPr="00190B5D">
        <w:rPr>
          <w:rFonts w:ascii="Calibri" w:hAnsi="Calibri"/>
          <w:color w:val="7F7F7F"/>
          <w:sz w:val="18"/>
          <w:szCs w:val="18"/>
        </w:rPr>
        <w:t>Per cent of Persons Renting their Homes, by Selected Birthplaces: Greater Dandenong, 201</w:t>
      </w:r>
      <w:r>
        <w:rPr>
          <w:rFonts w:ascii="Calibri" w:hAnsi="Calibri"/>
          <w:color w:val="7F7F7F"/>
          <w:sz w:val="18"/>
          <w:szCs w:val="18"/>
        </w:rPr>
        <w:t>6</w:t>
      </w:r>
    </w:p>
    <w:p w14:paraId="64089421" w14:textId="77777777" w:rsidR="00110D98" w:rsidRDefault="00110D98" w:rsidP="00110D98">
      <w:pPr>
        <w:spacing w:line="360" w:lineRule="auto"/>
        <w:jc w:val="both"/>
        <w:rPr>
          <w:rFonts w:ascii="Calibri" w:hAnsi="Calibri"/>
        </w:rPr>
      </w:pPr>
      <w:r>
        <w:rPr>
          <w:noProof/>
          <w:lang w:eastAsia="en-AU"/>
        </w:rPr>
        <w:drawing>
          <wp:anchor distT="0" distB="0" distL="114300" distR="114300" simplePos="0" relativeHeight="251662336" behindDoc="0" locked="0" layoutInCell="1" allowOverlap="0" wp14:anchorId="12E76A80" wp14:editId="52ED77C2">
            <wp:simplePos x="0" y="0"/>
            <wp:positionH relativeFrom="column">
              <wp:posOffset>651510</wp:posOffset>
            </wp:positionH>
            <wp:positionV relativeFrom="paragraph">
              <wp:posOffset>95250</wp:posOffset>
            </wp:positionV>
            <wp:extent cx="4121785" cy="4403090"/>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1785" cy="4403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7A8EE" w14:textId="77777777" w:rsidR="00110D98" w:rsidRDefault="00110D98" w:rsidP="00110D98">
      <w:pPr>
        <w:spacing w:line="360" w:lineRule="auto"/>
        <w:jc w:val="both"/>
        <w:rPr>
          <w:rFonts w:ascii="Calibri" w:hAnsi="Calibri"/>
        </w:rPr>
      </w:pPr>
    </w:p>
    <w:p w14:paraId="64887E5D" w14:textId="77777777" w:rsidR="00110D98" w:rsidRDefault="00110D98" w:rsidP="00110D98">
      <w:pPr>
        <w:spacing w:line="360" w:lineRule="auto"/>
        <w:jc w:val="both"/>
        <w:rPr>
          <w:rFonts w:ascii="Calibri" w:hAnsi="Calibri"/>
        </w:rPr>
      </w:pPr>
    </w:p>
    <w:p w14:paraId="63648FB3" w14:textId="77777777" w:rsidR="00110D98" w:rsidRDefault="00110D98" w:rsidP="00110D98">
      <w:pPr>
        <w:spacing w:line="360" w:lineRule="auto"/>
        <w:jc w:val="both"/>
        <w:rPr>
          <w:rFonts w:ascii="Calibri" w:hAnsi="Calibri"/>
        </w:rPr>
      </w:pPr>
    </w:p>
    <w:p w14:paraId="23E99EAB" w14:textId="77777777" w:rsidR="00110D98" w:rsidRDefault="00110D98" w:rsidP="00110D98">
      <w:pPr>
        <w:spacing w:line="360" w:lineRule="auto"/>
        <w:jc w:val="both"/>
        <w:rPr>
          <w:rFonts w:ascii="Calibri" w:hAnsi="Calibri"/>
        </w:rPr>
      </w:pPr>
    </w:p>
    <w:p w14:paraId="5478DB63" w14:textId="77777777" w:rsidR="00110D98" w:rsidRDefault="00110D98" w:rsidP="00110D98">
      <w:pPr>
        <w:spacing w:line="360" w:lineRule="auto"/>
        <w:jc w:val="both"/>
        <w:rPr>
          <w:rFonts w:ascii="Calibri" w:hAnsi="Calibri"/>
        </w:rPr>
      </w:pPr>
    </w:p>
    <w:p w14:paraId="3B8559EE" w14:textId="77777777" w:rsidR="00110D98" w:rsidRDefault="00110D98" w:rsidP="00110D98">
      <w:pPr>
        <w:spacing w:line="360" w:lineRule="auto"/>
        <w:jc w:val="both"/>
        <w:rPr>
          <w:rFonts w:ascii="Calibri" w:hAnsi="Calibri"/>
        </w:rPr>
      </w:pPr>
    </w:p>
    <w:p w14:paraId="05D7C7B2" w14:textId="77777777" w:rsidR="00110D98" w:rsidRDefault="00110D98" w:rsidP="00110D98">
      <w:pPr>
        <w:spacing w:line="360" w:lineRule="auto"/>
        <w:jc w:val="both"/>
        <w:rPr>
          <w:rFonts w:ascii="Calibri" w:hAnsi="Calibri"/>
        </w:rPr>
      </w:pPr>
    </w:p>
    <w:p w14:paraId="4214AF09" w14:textId="77777777" w:rsidR="00110D98" w:rsidRDefault="00110D98" w:rsidP="00110D98">
      <w:pPr>
        <w:spacing w:line="360" w:lineRule="auto"/>
        <w:jc w:val="both"/>
        <w:rPr>
          <w:rFonts w:ascii="Calibri" w:hAnsi="Calibri"/>
        </w:rPr>
      </w:pPr>
    </w:p>
    <w:p w14:paraId="2E8BCF07" w14:textId="77777777" w:rsidR="00110D98" w:rsidRDefault="00110D98" w:rsidP="00110D98">
      <w:pPr>
        <w:spacing w:line="360" w:lineRule="auto"/>
        <w:jc w:val="both"/>
        <w:rPr>
          <w:rFonts w:ascii="Calibri" w:hAnsi="Calibri"/>
        </w:rPr>
      </w:pPr>
    </w:p>
    <w:p w14:paraId="44920274" w14:textId="77777777" w:rsidR="00110D98" w:rsidRDefault="00110D98" w:rsidP="00110D98">
      <w:pPr>
        <w:spacing w:line="360" w:lineRule="auto"/>
        <w:jc w:val="both"/>
        <w:rPr>
          <w:rFonts w:ascii="Calibri" w:hAnsi="Calibri"/>
        </w:rPr>
      </w:pPr>
    </w:p>
    <w:p w14:paraId="3074FDD9" w14:textId="77777777" w:rsidR="00110D98" w:rsidRDefault="00110D98" w:rsidP="00110D98">
      <w:pPr>
        <w:spacing w:line="360" w:lineRule="auto"/>
        <w:jc w:val="both"/>
        <w:rPr>
          <w:rFonts w:ascii="Calibri" w:hAnsi="Calibri"/>
        </w:rPr>
      </w:pPr>
    </w:p>
    <w:p w14:paraId="133B4247" w14:textId="77777777" w:rsidR="00110D98" w:rsidRDefault="00110D98" w:rsidP="00110D98">
      <w:pPr>
        <w:spacing w:line="360" w:lineRule="auto"/>
        <w:jc w:val="both"/>
        <w:rPr>
          <w:rFonts w:ascii="Calibri" w:hAnsi="Calibri"/>
        </w:rPr>
      </w:pPr>
    </w:p>
    <w:p w14:paraId="636A6C77" w14:textId="77777777" w:rsidR="00110D98" w:rsidRDefault="00110D98" w:rsidP="00110D98">
      <w:pPr>
        <w:spacing w:line="360" w:lineRule="auto"/>
        <w:jc w:val="both"/>
        <w:rPr>
          <w:rFonts w:ascii="Calibri" w:hAnsi="Calibri"/>
        </w:rPr>
      </w:pPr>
    </w:p>
    <w:p w14:paraId="04D006CC" w14:textId="77777777" w:rsidR="00110D98" w:rsidRDefault="00110D98" w:rsidP="00110D98">
      <w:pPr>
        <w:spacing w:line="360" w:lineRule="auto"/>
        <w:jc w:val="both"/>
        <w:rPr>
          <w:rFonts w:ascii="Calibri" w:hAnsi="Calibri"/>
        </w:rPr>
      </w:pPr>
      <w:r>
        <w:rPr>
          <w:rFonts w:ascii="Calibri" w:hAnsi="Calibri"/>
          <w:noProof/>
          <w:lang w:eastAsia="en-AU"/>
        </w:rPr>
        <w:drawing>
          <wp:anchor distT="0" distB="0" distL="114300" distR="114300" simplePos="0" relativeHeight="251666432" behindDoc="0" locked="0" layoutInCell="1" allowOverlap="1" wp14:anchorId="7B181D59" wp14:editId="672AD14C">
            <wp:simplePos x="0" y="0"/>
            <wp:positionH relativeFrom="column">
              <wp:posOffset>3819525</wp:posOffset>
            </wp:positionH>
            <wp:positionV relativeFrom="line">
              <wp:posOffset>173990</wp:posOffset>
            </wp:positionV>
            <wp:extent cx="2146300" cy="16097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300" cy="1609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BA1735C" w14:textId="77777777" w:rsidR="00110D98" w:rsidRDefault="00110D98" w:rsidP="00110D98">
      <w:pPr>
        <w:spacing w:line="360" w:lineRule="auto"/>
        <w:jc w:val="both"/>
        <w:rPr>
          <w:rFonts w:ascii="Calibri" w:hAnsi="Calibri"/>
        </w:rPr>
      </w:pPr>
    </w:p>
    <w:p w14:paraId="3BD3738D" w14:textId="77777777" w:rsidR="00110D98" w:rsidRDefault="00110D98" w:rsidP="00110D98">
      <w:pPr>
        <w:spacing w:line="360" w:lineRule="auto"/>
        <w:jc w:val="both"/>
        <w:rPr>
          <w:rFonts w:ascii="Calibri" w:hAnsi="Calibri"/>
        </w:rPr>
      </w:pPr>
    </w:p>
    <w:p w14:paraId="3A04CDFA" w14:textId="77777777" w:rsidR="00110D98" w:rsidRDefault="00110D98" w:rsidP="00110D98">
      <w:pPr>
        <w:spacing w:line="360" w:lineRule="auto"/>
        <w:jc w:val="both"/>
        <w:rPr>
          <w:rFonts w:ascii="Calibri" w:hAnsi="Calibri"/>
        </w:rPr>
      </w:pPr>
    </w:p>
    <w:p w14:paraId="655EBCEB" w14:textId="77777777" w:rsidR="00110D98" w:rsidRDefault="00110D98" w:rsidP="00110D98">
      <w:pPr>
        <w:spacing w:line="360" w:lineRule="auto"/>
        <w:jc w:val="both"/>
        <w:rPr>
          <w:rFonts w:ascii="Calibri" w:hAnsi="Calibri"/>
        </w:rPr>
      </w:pPr>
    </w:p>
    <w:p w14:paraId="7E82800C" w14:textId="77777777" w:rsidR="00110D98" w:rsidRDefault="00110D98" w:rsidP="00110D98">
      <w:pPr>
        <w:spacing w:line="360" w:lineRule="auto"/>
        <w:jc w:val="both"/>
        <w:rPr>
          <w:rFonts w:ascii="Calibri" w:hAnsi="Calibri"/>
        </w:rPr>
      </w:pPr>
    </w:p>
    <w:p w14:paraId="6F775626" w14:textId="77777777" w:rsidR="00110D98" w:rsidRDefault="00110D98" w:rsidP="00110D98">
      <w:pPr>
        <w:spacing w:line="360" w:lineRule="auto"/>
        <w:jc w:val="both"/>
        <w:rPr>
          <w:rFonts w:ascii="Calibri" w:hAnsi="Calibri"/>
        </w:rPr>
      </w:pPr>
    </w:p>
    <w:p w14:paraId="5030F181" w14:textId="77777777" w:rsidR="00110D98" w:rsidRDefault="00110D98" w:rsidP="00110D98">
      <w:pPr>
        <w:spacing w:line="360" w:lineRule="auto"/>
        <w:jc w:val="both"/>
        <w:rPr>
          <w:rFonts w:ascii="Calibri" w:hAnsi="Calibri"/>
        </w:rPr>
      </w:pPr>
    </w:p>
    <w:p w14:paraId="00ADCBE4" w14:textId="77777777" w:rsidR="00110D98" w:rsidRDefault="00110D98" w:rsidP="00110D98">
      <w:pPr>
        <w:spacing w:line="360" w:lineRule="auto"/>
        <w:jc w:val="both"/>
        <w:rPr>
          <w:rFonts w:ascii="Calibri" w:hAnsi="Calibri"/>
        </w:rPr>
      </w:pPr>
    </w:p>
    <w:p w14:paraId="26739E21" w14:textId="77777777" w:rsidR="00110D98" w:rsidRPr="00E94DD1" w:rsidRDefault="00110D98" w:rsidP="00110D98">
      <w:pPr>
        <w:spacing w:line="360" w:lineRule="auto"/>
        <w:jc w:val="both"/>
        <w:rPr>
          <w:rFonts w:ascii="Calibri" w:hAnsi="Calibri"/>
        </w:rPr>
      </w:pPr>
    </w:p>
    <w:p w14:paraId="3C862996"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rPr>
        <w:lastRenderedPageBreak/>
        <w:t>The accompanying map illustrates the distribution of rental dwellings throughout metropolitan Melbourne as at 2011. Notably, rental housing is largely concentrated in the inner-urban areas, as well as in parts of the north, west and south-east of Melbourne – including Clayton and the local suburbs of Springvale, Noble Park and Dandenong.</w:t>
      </w:r>
    </w:p>
    <w:p w14:paraId="01F63D6B" w14:textId="77777777" w:rsidR="00110D98" w:rsidRDefault="00110D98" w:rsidP="00110D98">
      <w:pPr>
        <w:pStyle w:val="IntroParagraphtoeachChapter"/>
        <w:pBdr>
          <w:bottom w:val="none" w:sz="0" w:space="0" w:color="auto"/>
        </w:pBdr>
        <w:spacing w:line="360" w:lineRule="auto"/>
        <w:rPr>
          <w:rFonts w:ascii="Calibri" w:hAnsi="Calibri"/>
        </w:rPr>
      </w:pPr>
    </w:p>
    <w:p w14:paraId="5E9EEC77" w14:textId="77777777" w:rsidR="00110D98" w:rsidRPr="00190B5D" w:rsidRDefault="00110D98" w:rsidP="00110D98">
      <w:pPr>
        <w:pStyle w:val="IntroParagraphtoeachChapter"/>
        <w:pBdr>
          <w:bottom w:val="none" w:sz="0" w:space="0" w:color="auto"/>
        </w:pBdr>
        <w:spacing w:before="0"/>
        <w:jc w:val="left"/>
        <w:rPr>
          <w:rFonts w:ascii="Calibri" w:hAnsi="Calibri"/>
          <w:color w:val="7F7F7F"/>
          <w:sz w:val="18"/>
          <w:szCs w:val="18"/>
        </w:rPr>
      </w:pPr>
      <w:r w:rsidRPr="00190B5D">
        <w:rPr>
          <w:rFonts w:ascii="Calibri" w:hAnsi="Calibri"/>
          <w:color w:val="7F7F7F"/>
          <w:sz w:val="18"/>
          <w:szCs w:val="18"/>
        </w:rPr>
        <w:t>Distribution of Rental Housing: metropolitan Melbourne, 20</w:t>
      </w:r>
      <w:r>
        <w:rPr>
          <w:rFonts w:ascii="Calibri" w:hAnsi="Calibri"/>
          <w:color w:val="7F7F7F"/>
          <w:sz w:val="18"/>
          <w:szCs w:val="18"/>
        </w:rPr>
        <w:t>16</w:t>
      </w:r>
    </w:p>
    <w:p w14:paraId="11E26CB9" w14:textId="77777777" w:rsidR="00110D98" w:rsidRDefault="00110D98" w:rsidP="00110D98">
      <w:pPr>
        <w:pStyle w:val="IntroParagraphtoeachChapter"/>
        <w:pBdr>
          <w:bottom w:val="none" w:sz="0" w:space="0" w:color="auto"/>
        </w:pBdr>
        <w:spacing w:line="360" w:lineRule="auto"/>
        <w:jc w:val="center"/>
        <w:rPr>
          <w:rFonts w:ascii="Calibri" w:hAnsi="Calibri"/>
          <w:color w:val="7F7F7F"/>
        </w:rPr>
      </w:pPr>
      <w:r>
        <w:rPr>
          <w:rFonts w:ascii="Calibri" w:hAnsi="Calibri"/>
          <w:noProof/>
          <w:color w:val="7F7F7F"/>
          <w:lang w:val="en-AU" w:eastAsia="en-AU"/>
        </w:rPr>
        <w:drawing>
          <wp:inline distT="0" distB="0" distL="0" distR="0" wp14:anchorId="70AC3516" wp14:editId="197D7D16">
            <wp:extent cx="6123982" cy="7305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Dwellings Rented (% dwellings) 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7301080"/>
                    </a:xfrm>
                    <a:prstGeom prst="rect">
                      <a:avLst/>
                    </a:prstGeom>
                    <a:ln>
                      <a:noFill/>
                    </a:ln>
                    <a:effectLst>
                      <a:softEdge rad="112500"/>
                    </a:effectLst>
                  </pic:spPr>
                </pic:pic>
              </a:graphicData>
            </a:graphic>
          </wp:inline>
        </w:drawing>
      </w:r>
    </w:p>
    <w:p w14:paraId="3671B75F" w14:textId="77777777" w:rsidR="00110D98" w:rsidRDefault="00110D98" w:rsidP="00110D98">
      <w:pPr>
        <w:pStyle w:val="IntroParagraphtoeachChapter"/>
        <w:pBdr>
          <w:bottom w:val="none" w:sz="0" w:space="0" w:color="auto"/>
        </w:pBdr>
        <w:spacing w:before="0" w:line="360" w:lineRule="auto"/>
        <w:rPr>
          <w:rFonts w:ascii="Calibri" w:hAnsi="Calibri"/>
        </w:rPr>
      </w:pPr>
      <w:r>
        <w:rPr>
          <w:rFonts w:ascii="Calibri" w:hAnsi="Calibri"/>
          <w:noProof/>
        </w:rPr>
        <w:lastRenderedPageBreak/>
        <w:drawing>
          <wp:anchor distT="0" distB="0" distL="114300" distR="114300" simplePos="0" relativeHeight="251674624" behindDoc="0" locked="0" layoutInCell="1" allowOverlap="1" wp14:anchorId="7E3484A3" wp14:editId="3FD164A4">
            <wp:simplePos x="0" y="0"/>
            <wp:positionH relativeFrom="column">
              <wp:posOffset>2365375</wp:posOffset>
            </wp:positionH>
            <wp:positionV relativeFrom="line">
              <wp:posOffset>17780</wp:posOffset>
            </wp:positionV>
            <wp:extent cx="3743325" cy="280479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3325" cy="28047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In the past 20 years, median housing costs in Greater Dandenong have more than trebled in real terms.</w:t>
      </w:r>
    </w:p>
    <w:p w14:paraId="439479E6" w14:textId="77777777" w:rsidR="00110D98" w:rsidRDefault="00110D98" w:rsidP="00110D98">
      <w:pPr>
        <w:pStyle w:val="IntroParagraphtoeachChapter"/>
        <w:pBdr>
          <w:bottom w:val="none" w:sz="0" w:space="0" w:color="auto"/>
        </w:pBdr>
        <w:spacing w:line="360" w:lineRule="auto"/>
        <w:rPr>
          <w:rFonts w:ascii="Calibri" w:hAnsi="Calibri"/>
        </w:rPr>
      </w:pPr>
      <w:bookmarkStart w:id="1" w:name="_Hlk23238955"/>
      <w:r>
        <w:rPr>
          <w:rFonts w:ascii="Calibri" w:hAnsi="Calibri"/>
        </w:rPr>
        <w:t>Local</w:t>
      </w:r>
      <w:r w:rsidRPr="00E94DD1">
        <w:rPr>
          <w:rFonts w:ascii="Calibri" w:hAnsi="Calibri"/>
        </w:rPr>
        <w:t xml:space="preserve"> </w:t>
      </w:r>
      <w:r>
        <w:rPr>
          <w:rFonts w:ascii="Calibri" w:hAnsi="Calibri"/>
        </w:rPr>
        <w:t xml:space="preserve">house </w:t>
      </w:r>
      <w:r w:rsidRPr="00E94DD1">
        <w:rPr>
          <w:rFonts w:ascii="Calibri" w:hAnsi="Calibri"/>
        </w:rPr>
        <w:t xml:space="preserve">purchase prices </w:t>
      </w:r>
      <w:r>
        <w:rPr>
          <w:rFonts w:ascii="Calibri" w:hAnsi="Calibri"/>
        </w:rPr>
        <w:t xml:space="preserve">rose by 37% (after inflation) in the decade to 2020, compared with 14% across metropolitan Melbourne </w:t>
      </w:r>
      <w:r w:rsidRPr="00E94DD1">
        <w:rPr>
          <w:rFonts w:ascii="Calibri" w:hAnsi="Calibri"/>
        </w:rPr>
        <w:t xml:space="preserve">(diagram at </w:t>
      </w:r>
      <w:r>
        <w:rPr>
          <w:rFonts w:ascii="Calibri" w:hAnsi="Calibri"/>
        </w:rPr>
        <w:t xml:space="preserve">right), reaching $701,000 by June 2020. </w:t>
      </w:r>
    </w:p>
    <w:p w14:paraId="321543D9"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rPr>
        <w:t>As a consequence, l</w:t>
      </w:r>
      <w:r w:rsidRPr="00E94DD1">
        <w:rPr>
          <w:rFonts w:ascii="Calibri" w:hAnsi="Calibri"/>
        </w:rPr>
        <w:t xml:space="preserve">ocal price increases </w:t>
      </w:r>
      <w:r>
        <w:rPr>
          <w:rFonts w:ascii="Calibri" w:hAnsi="Calibri"/>
        </w:rPr>
        <w:t xml:space="preserve">have </w:t>
      </w:r>
      <w:r w:rsidRPr="00E94DD1">
        <w:rPr>
          <w:rFonts w:ascii="Calibri" w:hAnsi="Calibri"/>
        </w:rPr>
        <w:t>outstripped growth in incomes</w:t>
      </w:r>
      <w:r>
        <w:rPr>
          <w:rFonts w:ascii="Calibri" w:hAnsi="Calibri"/>
        </w:rPr>
        <w:t>, with the</w:t>
      </w:r>
      <w:r w:rsidRPr="00E94DD1">
        <w:rPr>
          <w:rFonts w:ascii="Calibri" w:hAnsi="Calibri"/>
        </w:rPr>
        <w:t xml:space="preserve"> median cost of houses in Greater Dandenong rising from </w:t>
      </w:r>
      <w:r>
        <w:rPr>
          <w:rFonts w:ascii="Calibri" w:hAnsi="Calibri"/>
        </w:rPr>
        <w:t>3.2</w:t>
      </w:r>
      <w:r w:rsidRPr="00E94DD1">
        <w:rPr>
          <w:rFonts w:ascii="Calibri" w:hAnsi="Calibri"/>
        </w:rPr>
        <w:t xml:space="preserve"> years of median </w:t>
      </w:r>
      <w:r>
        <w:rPr>
          <w:rFonts w:ascii="Calibri" w:hAnsi="Calibri"/>
        </w:rPr>
        <w:t>household</w:t>
      </w:r>
      <w:r w:rsidRPr="00E94DD1">
        <w:rPr>
          <w:rFonts w:ascii="Calibri" w:hAnsi="Calibri"/>
        </w:rPr>
        <w:t xml:space="preserve"> income</w:t>
      </w:r>
      <w:r>
        <w:rPr>
          <w:rFonts w:ascii="Calibri" w:hAnsi="Calibri"/>
        </w:rPr>
        <w:t xml:space="preserve"> in 1996</w:t>
      </w:r>
      <w:r w:rsidRPr="00E94DD1">
        <w:rPr>
          <w:rFonts w:ascii="Calibri" w:hAnsi="Calibri"/>
        </w:rPr>
        <w:t xml:space="preserve">, to </w:t>
      </w:r>
      <w:r>
        <w:rPr>
          <w:rFonts w:ascii="Calibri" w:hAnsi="Calibri"/>
        </w:rPr>
        <w:t>8.1</w:t>
      </w:r>
      <w:r w:rsidRPr="00E94DD1">
        <w:rPr>
          <w:rFonts w:ascii="Calibri" w:hAnsi="Calibri"/>
        </w:rPr>
        <w:t xml:space="preserve"> years</w:t>
      </w:r>
      <w:r>
        <w:rPr>
          <w:rFonts w:ascii="Calibri" w:hAnsi="Calibri"/>
        </w:rPr>
        <w:t xml:space="preserve"> in 2016</w:t>
      </w:r>
      <w:r w:rsidRPr="00E94DD1">
        <w:rPr>
          <w:rFonts w:ascii="Calibri" w:hAnsi="Calibri"/>
        </w:rPr>
        <w:t xml:space="preserve">. </w:t>
      </w:r>
      <w:bookmarkEnd w:id="1"/>
    </w:p>
    <w:p w14:paraId="74D8A6C2" w14:textId="77777777" w:rsidR="00110D98" w:rsidRDefault="00110D98" w:rsidP="00110D98">
      <w:pPr>
        <w:pStyle w:val="IntroParagraphtoeachChapter"/>
        <w:pBdr>
          <w:bottom w:val="none" w:sz="0" w:space="0" w:color="auto"/>
        </w:pBdr>
        <w:spacing w:before="0"/>
        <w:rPr>
          <w:rFonts w:ascii="Calibri" w:hAnsi="Calibri"/>
          <w:color w:val="7F7F7F"/>
          <w:sz w:val="18"/>
          <w:szCs w:val="18"/>
        </w:rPr>
      </w:pPr>
      <w:r w:rsidRPr="002A74B7">
        <w:rPr>
          <w:rFonts w:ascii="Calibri" w:hAnsi="Calibri"/>
          <w:color w:val="7F7F7F"/>
          <w:sz w:val="18"/>
          <w:szCs w:val="18"/>
        </w:rPr>
        <w:t>Median House Prices in Greater Dandenong, as a percentage of metropolitan prices: 1985 to 20</w:t>
      </w:r>
      <w:r>
        <w:rPr>
          <w:rFonts w:ascii="Calibri" w:hAnsi="Calibri"/>
          <w:color w:val="7F7F7F"/>
          <w:sz w:val="18"/>
          <w:szCs w:val="18"/>
        </w:rPr>
        <w:t>20</w:t>
      </w:r>
    </w:p>
    <w:p w14:paraId="368252E5" w14:textId="77777777" w:rsidR="00110D98" w:rsidRDefault="00110D98" w:rsidP="00110D98">
      <w:pPr>
        <w:pStyle w:val="IntroParagraphtoeachChapter"/>
        <w:pBdr>
          <w:bottom w:val="none" w:sz="0" w:space="0" w:color="auto"/>
        </w:pBdr>
        <w:spacing w:before="0"/>
        <w:rPr>
          <w:rFonts w:ascii="Calibri" w:hAnsi="Calibri"/>
          <w:color w:val="7F7F7F"/>
          <w:sz w:val="18"/>
          <w:szCs w:val="18"/>
        </w:rPr>
      </w:pPr>
    </w:p>
    <w:p w14:paraId="40B2DCC1" w14:textId="77777777" w:rsidR="00110D98" w:rsidRPr="002A74B7" w:rsidRDefault="00110D98" w:rsidP="00110D98">
      <w:pPr>
        <w:pStyle w:val="IntroParagraphtoeachChapter"/>
        <w:pBdr>
          <w:bottom w:val="none" w:sz="0" w:space="0" w:color="auto"/>
        </w:pBdr>
        <w:spacing w:before="0"/>
        <w:rPr>
          <w:rFonts w:ascii="Calibri" w:hAnsi="Calibri"/>
          <w:color w:val="7F7F7F"/>
          <w:sz w:val="18"/>
          <w:szCs w:val="18"/>
        </w:rPr>
      </w:pPr>
      <w:r>
        <w:rPr>
          <w:rFonts w:ascii="Calibri" w:hAnsi="Calibri"/>
          <w:noProof/>
        </w:rPr>
        <w:drawing>
          <wp:anchor distT="0" distB="0" distL="114300" distR="114300" simplePos="0" relativeHeight="251660288" behindDoc="0" locked="0" layoutInCell="1" allowOverlap="1" wp14:anchorId="5F0EB221" wp14:editId="51D491ED">
            <wp:simplePos x="0" y="0"/>
            <wp:positionH relativeFrom="column">
              <wp:posOffset>-1270</wp:posOffset>
            </wp:positionH>
            <wp:positionV relativeFrom="line">
              <wp:posOffset>3175</wp:posOffset>
            </wp:positionV>
            <wp:extent cx="3404870" cy="2520315"/>
            <wp:effectExtent l="0" t="0" r="508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4870" cy="2520315"/>
                    </a:xfrm>
                    <a:prstGeom prst="rect">
                      <a:avLst/>
                    </a:prstGeom>
                    <a:noFill/>
                  </pic:spPr>
                </pic:pic>
              </a:graphicData>
            </a:graphic>
            <wp14:sizeRelH relativeFrom="page">
              <wp14:pctWidth>0</wp14:pctWidth>
            </wp14:sizeRelH>
            <wp14:sizeRelV relativeFrom="page">
              <wp14:pctHeight>0</wp14:pctHeight>
            </wp14:sizeRelV>
          </wp:anchor>
        </w:drawing>
      </w:r>
    </w:p>
    <w:p w14:paraId="28CBAF7B"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rPr>
        <w:t xml:space="preserve">In keeping with these trends, median housing prices in Greater Dandenong have risen from approximately two-thirds (68%) of the metropolitan median in 2001 to 103% of the metropolitan median by </w:t>
      </w:r>
      <w:r>
        <w:rPr>
          <w:rFonts w:ascii="Calibri" w:hAnsi="Calibri"/>
          <w:noProof/>
          <w:lang w:val="en-AU" w:eastAsia="en-AU"/>
        </w:rPr>
        <w:drawing>
          <wp:anchor distT="0" distB="0" distL="114300" distR="114300" simplePos="0" relativeHeight="251673600" behindDoc="0" locked="0" layoutInCell="1" allowOverlap="1" wp14:anchorId="62EF0730" wp14:editId="06F3B154">
            <wp:simplePos x="0" y="0"/>
            <wp:positionH relativeFrom="column">
              <wp:posOffset>-3342640</wp:posOffset>
            </wp:positionH>
            <wp:positionV relativeFrom="line">
              <wp:posOffset>18097</wp:posOffset>
            </wp:positionV>
            <wp:extent cx="1164399" cy="873406"/>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 1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99" cy="87340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rPr>
        <w:t>2020.</w:t>
      </w:r>
    </w:p>
    <w:p w14:paraId="2917D395" w14:textId="77777777" w:rsidR="00110D98" w:rsidRDefault="00110D98" w:rsidP="00110D98">
      <w:pPr>
        <w:pStyle w:val="IntroParagraphtoeachChapter"/>
        <w:pBdr>
          <w:bottom w:val="none" w:sz="0" w:space="0" w:color="auto"/>
        </w:pBdr>
        <w:spacing w:line="360" w:lineRule="auto"/>
        <w:rPr>
          <w:rFonts w:ascii="Calibri" w:hAnsi="Calibri"/>
        </w:rPr>
      </w:pPr>
    </w:p>
    <w:p w14:paraId="121CC310" w14:textId="77777777" w:rsidR="00110D98" w:rsidRDefault="00110D98" w:rsidP="00110D98">
      <w:pPr>
        <w:pStyle w:val="IntroParagraphtoeachChapter"/>
        <w:pBdr>
          <w:bottom w:val="none" w:sz="0" w:space="0" w:color="auto"/>
        </w:pBdr>
        <w:spacing w:line="360" w:lineRule="auto"/>
        <w:rPr>
          <w:rFonts w:ascii="Calibri" w:hAnsi="Calibri"/>
        </w:rPr>
      </w:pPr>
    </w:p>
    <w:p w14:paraId="7473FEAC" w14:textId="77777777" w:rsidR="00110D98" w:rsidRDefault="00110D98" w:rsidP="00110D98">
      <w:pPr>
        <w:pStyle w:val="IntroParagraphtoeachChapter"/>
        <w:pBdr>
          <w:bottom w:val="none" w:sz="0" w:space="0" w:color="auto"/>
        </w:pBdr>
        <w:spacing w:line="360" w:lineRule="auto"/>
        <w:rPr>
          <w:rFonts w:ascii="Calibri" w:hAnsi="Calibri"/>
        </w:rPr>
      </w:pPr>
    </w:p>
    <w:p w14:paraId="20FDFFBA" w14:textId="77777777" w:rsidR="00110D98" w:rsidRDefault="00110D98" w:rsidP="00110D98">
      <w:pPr>
        <w:pStyle w:val="IntroParagraphtoeachChapter"/>
        <w:pBdr>
          <w:bottom w:val="none" w:sz="0" w:space="0" w:color="auto"/>
        </w:pBdr>
        <w:spacing w:line="360" w:lineRule="auto"/>
        <w:rPr>
          <w:rFonts w:ascii="Calibri" w:hAnsi="Calibri"/>
        </w:rPr>
      </w:pPr>
    </w:p>
    <w:p w14:paraId="4B484422" w14:textId="77777777" w:rsidR="00110D98" w:rsidRPr="00706648" w:rsidRDefault="00110D98" w:rsidP="00110D98">
      <w:pPr>
        <w:pStyle w:val="IntroParagraphtoeachChapter"/>
        <w:pBdr>
          <w:bottom w:val="none" w:sz="0" w:space="0" w:color="auto"/>
        </w:pBdr>
        <w:spacing w:before="0"/>
        <w:ind w:left="3828"/>
        <w:rPr>
          <w:rFonts w:ascii="Calibri" w:hAnsi="Calibri"/>
          <w:color w:val="7F7F7F" w:themeColor="text1" w:themeTint="80"/>
          <w:sz w:val="18"/>
          <w:szCs w:val="18"/>
        </w:rPr>
      </w:pPr>
      <w:r w:rsidRPr="00706648">
        <w:rPr>
          <w:rFonts w:ascii="Calibri" w:hAnsi="Calibri"/>
          <w:color w:val="7F7F7F" w:themeColor="text1" w:themeTint="80"/>
          <w:sz w:val="18"/>
          <w:szCs w:val="18"/>
        </w:rPr>
        <w:t xml:space="preserve">Median </w:t>
      </w:r>
      <w:r>
        <w:rPr>
          <w:rFonts w:ascii="Calibri" w:hAnsi="Calibri"/>
          <w:color w:val="7F7F7F" w:themeColor="text1" w:themeTint="80"/>
          <w:sz w:val="18"/>
          <w:szCs w:val="18"/>
        </w:rPr>
        <w:t>Unit</w:t>
      </w:r>
      <w:r w:rsidRPr="00706648">
        <w:rPr>
          <w:rFonts w:ascii="Calibri" w:hAnsi="Calibri"/>
          <w:color w:val="7F7F7F" w:themeColor="text1" w:themeTint="80"/>
          <w:sz w:val="18"/>
          <w:szCs w:val="18"/>
        </w:rPr>
        <w:t xml:space="preserve"> Purchase Costs: Greater Dandenong and metropolitan Melbourne, 1985 to 2020 (adjusted for inflation)</w:t>
      </w:r>
    </w:p>
    <w:p w14:paraId="2E6AA3B8"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noProof/>
        </w:rPr>
        <w:drawing>
          <wp:anchor distT="0" distB="0" distL="114300" distR="114300" simplePos="0" relativeHeight="251669504" behindDoc="0" locked="0" layoutInCell="1" allowOverlap="1" wp14:anchorId="4DE6A4C7" wp14:editId="244C4827">
            <wp:simplePos x="0" y="0"/>
            <wp:positionH relativeFrom="margin">
              <wp:posOffset>2613660</wp:posOffset>
            </wp:positionH>
            <wp:positionV relativeFrom="line">
              <wp:posOffset>114935</wp:posOffset>
            </wp:positionV>
            <wp:extent cx="3505200" cy="26263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2626360"/>
                    </a:xfrm>
                    <a:prstGeom prst="rect">
                      <a:avLst/>
                    </a:prstGeom>
                    <a:noFill/>
                  </pic:spPr>
                </pic:pic>
              </a:graphicData>
            </a:graphic>
            <wp14:sizeRelH relativeFrom="page">
              <wp14:pctWidth>0</wp14:pctWidth>
            </wp14:sizeRelH>
            <wp14:sizeRelV relativeFrom="page">
              <wp14:pctHeight>0</wp14:pctHeight>
            </wp14:sizeRelV>
          </wp:anchor>
        </w:drawing>
      </w:r>
    </w:p>
    <w:p w14:paraId="4C179BBD"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rPr>
        <w:t xml:space="preserve">Meantime, the median price of three-bedroom houses in Greater Dandenong rose 4.2%, and two-bedroom flats by 5.9%, in real terms during the decade to 2020 – more than twice the rate of growth recorded across Melbourne during this period. </w:t>
      </w:r>
    </w:p>
    <w:p w14:paraId="40BE8FF4" w14:textId="77777777" w:rsidR="00110D98" w:rsidRDefault="00110D98" w:rsidP="00110D98">
      <w:pPr>
        <w:pStyle w:val="IntroParagraphtoeachChapter"/>
        <w:pBdr>
          <w:bottom w:val="none" w:sz="0" w:space="0" w:color="auto"/>
        </w:pBdr>
        <w:spacing w:line="360" w:lineRule="auto"/>
        <w:rPr>
          <w:rFonts w:ascii="Calibri" w:hAnsi="Calibri"/>
        </w:rPr>
      </w:pPr>
      <w:r w:rsidRPr="00E94DD1">
        <w:rPr>
          <w:rFonts w:ascii="Calibri" w:hAnsi="Calibri"/>
        </w:rPr>
        <w:t xml:space="preserve">Causes of housing price increases </w:t>
      </w:r>
      <w:r>
        <w:rPr>
          <w:rFonts w:ascii="Calibri" w:hAnsi="Calibri"/>
        </w:rPr>
        <w:t xml:space="preserve">across Australia </w:t>
      </w:r>
      <w:r w:rsidRPr="00E94DD1">
        <w:rPr>
          <w:rFonts w:ascii="Calibri" w:hAnsi="Calibri"/>
        </w:rPr>
        <w:t xml:space="preserve">during the past two decades </w:t>
      </w:r>
      <w:r>
        <w:rPr>
          <w:rFonts w:ascii="Calibri" w:hAnsi="Calibri"/>
        </w:rPr>
        <w:t xml:space="preserve">include </w:t>
      </w:r>
      <w:r w:rsidRPr="00E94DD1">
        <w:rPr>
          <w:rFonts w:ascii="Calibri" w:hAnsi="Calibri"/>
        </w:rPr>
        <w:t>declining interest rates</w:t>
      </w:r>
      <w:r>
        <w:rPr>
          <w:rFonts w:ascii="Calibri" w:hAnsi="Calibri"/>
        </w:rPr>
        <w:t xml:space="preserve">; </w:t>
      </w:r>
      <w:r w:rsidRPr="00E94DD1">
        <w:rPr>
          <w:rFonts w:ascii="Calibri" w:hAnsi="Calibri"/>
        </w:rPr>
        <w:t>economic and population growth</w:t>
      </w:r>
      <w:r>
        <w:rPr>
          <w:rFonts w:ascii="Calibri" w:hAnsi="Calibri"/>
        </w:rPr>
        <w:t xml:space="preserve">; </w:t>
      </w:r>
      <w:r w:rsidRPr="00E94DD1">
        <w:rPr>
          <w:rFonts w:ascii="Calibri" w:hAnsi="Calibri"/>
        </w:rPr>
        <w:t>s</w:t>
      </w:r>
      <w:r>
        <w:rPr>
          <w:rFonts w:ascii="Calibri" w:hAnsi="Calibri"/>
        </w:rPr>
        <w:t xml:space="preserve">upportive tax </w:t>
      </w:r>
      <w:r>
        <w:rPr>
          <w:rFonts w:ascii="Calibri" w:hAnsi="Calibri"/>
        </w:rPr>
        <w:lastRenderedPageBreak/>
        <w:t>conditions such as</w:t>
      </w:r>
      <w:r w:rsidRPr="00E94DD1">
        <w:rPr>
          <w:rFonts w:ascii="Calibri" w:hAnsi="Calibri"/>
        </w:rPr>
        <w:t xml:space="preserve"> negative gearing and capital gains</w:t>
      </w:r>
      <w:r>
        <w:rPr>
          <w:rFonts w:ascii="Calibri" w:hAnsi="Calibri"/>
        </w:rPr>
        <w:t xml:space="preserve">; and </w:t>
      </w:r>
      <w:r w:rsidRPr="00E94DD1">
        <w:rPr>
          <w:rFonts w:ascii="Calibri" w:hAnsi="Calibri"/>
        </w:rPr>
        <w:t>limited growth in housing supply</w:t>
      </w:r>
      <w:r>
        <w:rPr>
          <w:rFonts w:ascii="Calibri" w:hAnsi="Calibri"/>
        </w:rPr>
        <w:t xml:space="preserve">. </w:t>
      </w:r>
      <w:r w:rsidRPr="00E94DD1">
        <w:rPr>
          <w:rFonts w:ascii="Calibri" w:hAnsi="Calibri"/>
        </w:rPr>
        <w:t xml:space="preserve">Consequences have included rising house prices and public housing waiting lists, coupled with a </w:t>
      </w:r>
      <w:r>
        <w:rPr>
          <w:rFonts w:ascii="Calibri" w:hAnsi="Calibri"/>
        </w:rPr>
        <w:t>fall</w:t>
      </w:r>
      <w:r w:rsidRPr="00E94DD1">
        <w:rPr>
          <w:rFonts w:ascii="Calibri" w:hAnsi="Calibri"/>
        </w:rPr>
        <w:t xml:space="preserve"> in vacancy rates and affordability.</w:t>
      </w:r>
    </w:p>
    <w:p w14:paraId="69A56BDD" w14:textId="77777777" w:rsidR="00110D98" w:rsidRDefault="00110D98" w:rsidP="00110D98">
      <w:pPr>
        <w:pStyle w:val="IntroParagraphtoeachChapter"/>
        <w:pBdr>
          <w:bottom w:val="none" w:sz="0" w:space="0" w:color="auto"/>
        </w:pBdr>
        <w:spacing w:line="360" w:lineRule="auto"/>
        <w:rPr>
          <w:rFonts w:ascii="Calibri" w:hAnsi="Calibri"/>
        </w:rPr>
      </w:pPr>
      <w:r>
        <w:rPr>
          <w:rFonts w:ascii="Calibri" w:hAnsi="Calibri"/>
          <w:b/>
          <w:noProof/>
        </w:rPr>
        <w:drawing>
          <wp:anchor distT="0" distB="0" distL="114300" distR="114300" simplePos="0" relativeHeight="251663360" behindDoc="0" locked="0" layoutInCell="1" allowOverlap="1" wp14:anchorId="1D78BC30" wp14:editId="3BD843DF">
            <wp:simplePos x="0" y="0"/>
            <wp:positionH relativeFrom="column">
              <wp:posOffset>2366645</wp:posOffset>
            </wp:positionH>
            <wp:positionV relativeFrom="line">
              <wp:posOffset>199707</wp:posOffset>
            </wp:positionV>
            <wp:extent cx="3754755" cy="2607945"/>
            <wp:effectExtent l="0" t="0" r="0"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4755" cy="2607945"/>
                    </a:xfrm>
                    <a:prstGeom prst="rect">
                      <a:avLst/>
                    </a:prstGeom>
                    <a:noFill/>
                  </pic:spPr>
                </pic:pic>
              </a:graphicData>
            </a:graphic>
            <wp14:sizeRelH relativeFrom="page">
              <wp14:pctWidth>0</wp14:pctWidth>
            </wp14:sizeRelH>
            <wp14:sizeRelV relativeFrom="page">
              <wp14:pctHeight>0</wp14:pctHeight>
            </wp14:sizeRelV>
          </wp:anchor>
        </w:drawing>
      </w:r>
    </w:p>
    <w:p w14:paraId="0A27F087" w14:textId="77777777" w:rsidR="00110D98" w:rsidRDefault="00110D98" w:rsidP="00110D98">
      <w:pPr>
        <w:pStyle w:val="IntroParagraphtoeachChapter"/>
        <w:pBdr>
          <w:bottom w:val="none" w:sz="0" w:space="0" w:color="auto"/>
        </w:pBdr>
        <w:tabs>
          <w:tab w:val="left" w:pos="4536"/>
        </w:tabs>
        <w:spacing w:before="0"/>
        <w:rPr>
          <w:rFonts w:ascii="Calibri" w:hAnsi="Calibri"/>
          <w:b/>
        </w:rPr>
      </w:pPr>
      <w:r>
        <w:rPr>
          <w:rFonts w:ascii="Calibri" w:hAnsi="Calibri"/>
          <w:b/>
        </w:rPr>
        <w:t xml:space="preserve">Rental Cost and </w:t>
      </w:r>
      <w:r w:rsidRPr="00E94DD1">
        <w:rPr>
          <w:rFonts w:ascii="Calibri" w:hAnsi="Calibri"/>
          <w:b/>
        </w:rPr>
        <w:t>Affordability</w:t>
      </w:r>
    </w:p>
    <w:p w14:paraId="39432C75" w14:textId="77777777" w:rsidR="00110D98" w:rsidRPr="00BC5041" w:rsidRDefault="00110D98" w:rsidP="00110D98">
      <w:pPr>
        <w:pStyle w:val="IntroParagraphtoeachChapter"/>
        <w:pBdr>
          <w:bottom w:val="none" w:sz="0" w:space="0" w:color="auto"/>
        </w:pBdr>
        <w:spacing w:before="0"/>
        <w:jc w:val="left"/>
        <w:rPr>
          <w:rFonts w:ascii="Calibri" w:hAnsi="Calibri"/>
          <w:noProof/>
          <w:color w:val="7F7F7F"/>
          <w:sz w:val="12"/>
          <w:szCs w:val="12"/>
          <w:lang w:eastAsia="en-AU"/>
        </w:rPr>
      </w:pPr>
    </w:p>
    <w:p w14:paraId="610D4DEF" w14:textId="77777777" w:rsidR="00110D98" w:rsidRDefault="00110D98" w:rsidP="00110D98">
      <w:pPr>
        <w:pStyle w:val="IntroParagraphtoeachChapter"/>
        <w:pBdr>
          <w:bottom w:val="none" w:sz="0" w:space="0" w:color="auto"/>
        </w:pBdr>
        <w:spacing w:before="0"/>
        <w:jc w:val="left"/>
        <w:rPr>
          <w:rFonts w:ascii="Calibri" w:hAnsi="Calibri"/>
          <w:noProof/>
          <w:color w:val="7F7F7F"/>
          <w:sz w:val="18"/>
          <w:szCs w:val="18"/>
          <w:lang w:eastAsia="en-AU"/>
        </w:rPr>
      </w:pPr>
      <w:r w:rsidRPr="00245785">
        <w:rPr>
          <w:rFonts w:ascii="Calibri" w:hAnsi="Calibri"/>
          <w:noProof/>
          <w:color w:val="7F7F7F"/>
          <w:sz w:val="18"/>
          <w:szCs w:val="18"/>
          <w:lang w:eastAsia="en-AU"/>
        </w:rPr>
        <w:t xml:space="preserve">Per cent Rental Properties Affordable, Greater Dandenong and </w:t>
      </w:r>
      <w:r>
        <w:rPr>
          <w:rFonts w:ascii="Calibri" w:hAnsi="Calibri"/>
          <w:noProof/>
          <w:color w:val="7F7F7F"/>
          <w:sz w:val="18"/>
          <w:szCs w:val="18"/>
          <w:lang w:eastAsia="en-AU"/>
        </w:rPr>
        <w:t>Metropolitan Melbourne</w:t>
      </w:r>
      <w:r w:rsidRPr="00245785">
        <w:rPr>
          <w:rFonts w:ascii="Calibri" w:hAnsi="Calibri"/>
          <w:noProof/>
          <w:color w:val="7F7F7F"/>
          <w:sz w:val="18"/>
          <w:szCs w:val="18"/>
          <w:lang w:eastAsia="en-AU"/>
        </w:rPr>
        <w:t xml:space="preserve"> 2000-20</w:t>
      </w:r>
      <w:r>
        <w:rPr>
          <w:rFonts w:ascii="Calibri" w:hAnsi="Calibri"/>
          <w:noProof/>
          <w:color w:val="7F7F7F"/>
          <w:sz w:val="18"/>
          <w:szCs w:val="18"/>
          <w:lang w:eastAsia="en-AU"/>
        </w:rPr>
        <w:t xml:space="preserve">20 </w:t>
      </w:r>
    </w:p>
    <w:p w14:paraId="5673A3F6" w14:textId="77777777" w:rsidR="00110D98" w:rsidRPr="00BC5041" w:rsidRDefault="00110D98" w:rsidP="00110D98">
      <w:pPr>
        <w:pStyle w:val="IntroParagraphtoeachChapter"/>
        <w:pBdr>
          <w:bottom w:val="none" w:sz="0" w:space="0" w:color="auto"/>
        </w:pBdr>
        <w:spacing w:before="0"/>
        <w:jc w:val="left"/>
        <w:rPr>
          <w:rFonts w:ascii="Calibri" w:hAnsi="Calibri"/>
          <w:noProof/>
          <w:color w:val="7F7F7F"/>
          <w:sz w:val="12"/>
          <w:szCs w:val="12"/>
          <w:lang w:eastAsia="en-AU"/>
        </w:rPr>
      </w:pPr>
    </w:p>
    <w:p w14:paraId="2D6601EA" w14:textId="77777777" w:rsidR="00110D98" w:rsidRDefault="00110D98" w:rsidP="00110D98">
      <w:pPr>
        <w:pStyle w:val="IntroParagraphtoeachChapter"/>
        <w:pBdr>
          <w:bottom w:val="none" w:sz="0" w:space="0" w:color="auto"/>
        </w:pBdr>
        <w:spacing w:line="360" w:lineRule="auto"/>
        <w:rPr>
          <w:rFonts w:ascii="Calibri" w:hAnsi="Calibri"/>
        </w:rPr>
      </w:pPr>
      <w:r w:rsidRPr="00481BDA">
        <w:rPr>
          <w:rFonts w:ascii="Calibri" w:hAnsi="Calibri"/>
        </w:rPr>
        <w:t xml:space="preserve">In </w:t>
      </w:r>
      <w:r>
        <w:rPr>
          <w:rFonts w:ascii="Calibri" w:hAnsi="Calibri"/>
        </w:rPr>
        <w:t xml:space="preserve">June </w:t>
      </w:r>
      <w:r w:rsidRPr="00481BDA">
        <w:rPr>
          <w:rFonts w:ascii="Calibri" w:hAnsi="Calibri"/>
        </w:rPr>
        <w:t>20</w:t>
      </w:r>
      <w:r>
        <w:rPr>
          <w:rFonts w:ascii="Calibri" w:hAnsi="Calibri"/>
        </w:rPr>
        <w:t>20</w:t>
      </w:r>
      <w:r w:rsidRPr="00481BDA">
        <w:rPr>
          <w:rFonts w:ascii="Calibri" w:hAnsi="Calibri"/>
        </w:rPr>
        <w:t>, the average cost of renting a three-bedroom house</w:t>
      </w:r>
      <w:r>
        <w:rPr>
          <w:rFonts w:ascii="Calibri" w:hAnsi="Calibri"/>
        </w:rPr>
        <w:t xml:space="preserve"> in Greater Dandenong</w:t>
      </w:r>
      <w:r w:rsidRPr="00481BDA">
        <w:rPr>
          <w:rFonts w:ascii="Calibri" w:hAnsi="Calibri"/>
        </w:rPr>
        <w:t xml:space="preserve"> was $3</w:t>
      </w:r>
      <w:r>
        <w:rPr>
          <w:rFonts w:ascii="Calibri" w:hAnsi="Calibri"/>
        </w:rPr>
        <w:t>90</w:t>
      </w:r>
      <w:r w:rsidRPr="00481BDA">
        <w:rPr>
          <w:rFonts w:ascii="Calibri" w:hAnsi="Calibri"/>
        </w:rPr>
        <w:t xml:space="preserve"> – similar to the metropolitan average of $</w:t>
      </w:r>
      <w:r>
        <w:rPr>
          <w:rFonts w:ascii="Calibri" w:hAnsi="Calibri"/>
        </w:rPr>
        <w:t>400.</w:t>
      </w:r>
      <w:r w:rsidRPr="00481BDA">
        <w:rPr>
          <w:rFonts w:ascii="Calibri" w:hAnsi="Calibri"/>
        </w:rPr>
        <w:t xml:space="preserve"> </w:t>
      </w:r>
    </w:p>
    <w:p w14:paraId="3D6436EA" w14:textId="77777777" w:rsidR="00110D98" w:rsidRDefault="00110D98" w:rsidP="00110D98">
      <w:pPr>
        <w:pStyle w:val="IntroParagraphtoeachChapter"/>
        <w:pBdr>
          <w:bottom w:val="none" w:sz="0" w:space="0" w:color="auto"/>
        </w:pBdr>
        <w:spacing w:line="360" w:lineRule="auto"/>
        <w:rPr>
          <w:rFonts w:ascii="Calibri" w:hAnsi="Calibri"/>
        </w:rPr>
      </w:pPr>
      <w:r w:rsidRPr="00E94DD1">
        <w:rPr>
          <w:rFonts w:ascii="Calibri" w:hAnsi="Calibri"/>
        </w:rPr>
        <w:t xml:space="preserve">The proportion of rental properties affordable to Centrelink recipients in Greater Dandenong fell from </w:t>
      </w:r>
      <w:r>
        <w:rPr>
          <w:rFonts w:ascii="Calibri" w:hAnsi="Calibri"/>
        </w:rPr>
        <w:t>83</w:t>
      </w:r>
      <w:r w:rsidRPr="00E94DD1">
        <w:rPr>
          <w:rFonts w:ascii="Calibri" w:hAnsi="Calibri"/>
        </w:rPr>
        <w:t>%</w:t>
      </w:r>
      <w:r>
        <w:rPr>
          <w:rFonts w:ascii="Calibri" w:hAnsi="Calibri"/>
        </w:rPr>
        <w:t xml:space="preserve"> in 2001, to</w:t>
      </w:r>
      <w:r w:rsidRPr="00E94DD1">
        <w:rPr>
          <w:rFonts w:ascii="Calibri" w:hAnsi="Calibri"/>
        </w:rPr>
        <w:t xml:space="preserve"> </w:t>
      </w:r>
      <w:r>
        <w:rPr>
          <w:rFonts w:ascii="Calibri" w:hAnsi="Calibri"/>
        </w:rPr>
        <w:t>9.3</w:t>
      </w:r>
      <w:r w:rsidRPr="00E94DD1">
        <w:rPr>
          <w:rFonts w:ascii="Calibri" w:hAnsi="Calibri"/>
        </w:rPr>
        <w:t xml:space="preserve">% </w:t>
      </w:r>
      <w:r>
        <w:rPr>
          <w:rFonts w:ascii="Calibri" w:hAnsi="Calibri"/>
        </w:rPr>
        <w:t>by</w:t>
      </w:r>
      <w:r w:rsidRPr="00E94DD1">
        <w:rPr>
          <w:rFonts w:ascii="Calibri" w:hAnsi="Calibri"/>
        </w:rPr>
        <w:t xml:space="preserve"> 20</w:t>
      </w:r>
      <w:r>
        <w:rPr>
          <w:rFonts w:ascii="Calibri" w:hAnsi="Calibri"/>
        </w:rPr>
        <w:t xml:space="preserve">20 – similar to the metropolitan average </w:t>
      </w:r>
      <w:r w:rsidRPr="00E94DD1">
        <w:rPr>
          <w:rFonts w:ascii="Calibri" w:hAnsi="Calibri"/>
        </w:rPr>
        <w:t xml:space="preserve">(diagram, </w:t>
      </w:r>
      <w:r>
        <w:rPr>
          <w:rFonts w:ascii="Calibri" w:hAnsi="Calibri"/>
        </w:rPr>
        <w:t>above), thereby aggravating the financial difficulties faced by many renting households.</w:t>
      </w:r>
    </w:p>
    <w:p w14:paraId="489B7EBB" w14:textId="77777777" w:rsidR="00110D98" w:rsidRDefault="00110D98" w:rsidP="00110D98">
      <w:pPr>
        <w:pStyle w:val="IntroParagraphtoeachChapter"/>
        <w:pBdr>
          <w:bottom w:val="none" w:sz="0" w:space="0" w:color="auto"/>
        </w:pBdr>
        <w:rPr>
          <w:rFonts w:ascii="Calibri" w:hAnsi="Calibri"/>
          <w:b/>
        </w:rPr>
      </w:pPr>
    </w:p>
    <w:p w14:paraId="1059AFF7" w14:textId="77777777" w:rsidR="00110D98" w:rsidRPr="00EA12D7" w:rsidRDefault="00110D98" w:rsidP="00110D98">
      <w:pPr>
        <w:pStyle w:val="IntroParagraphtoeachChapter"/>
        <w:pBdr>
          <w:bottom w:val="none" w:sz="0" w:space="0" w:color="auto"/>
        </w:pBdr>
        <w:rPr>
          <w:rFonts w:ascii="Calibri" w:hAnsi="Calibri"/>
          <w:b/>
        </w:rPr>
      </w:pPr>
      <w:r w:rsidRPr="00EA12D7">
        <w:rPr>
          <w:rFonts w:ascii="Calibri" w:hAnsi="Calibri"/>
          <w:b/>
        </w:rPr>
        <w:t>Rent-related Financial Stress</w:t>
      </w:r>
    </w:p>
    <w:p w14:paraId="5BC05D03" w14:textId="77777777" w:rsidR="00110D98" w:rsidRDefault="00110D98" w:rsidP="00110D98">
      <w:pPr>
        <w:pStyle w:val="IntroParagraphtoeachChapter"/>
        <w:pBdr>
          <w:bottom w:val="none" w:sz="0" w:space="0" w:color="auto"/>
        </w:pBdr>
        <w:spacing w:line="360" w:lineRule="auto"/>
        <w:rPr>
          <w:rFonts w:ascii="Calibri" w:hAnsi="Calibri"/>
          <w:noProof/>
        </w:rPr>
      </w:pPr>
      <w:r>
        <w:rPr>
          <w:rFonts w:ascii="Calibri" w:hAnsi="Calibri"/>
        </w:rPr>
        <w:t>F</w:t>
      </w:r>
      <w:r w:rsidRPr="0096701B">
        <w:rPr>
          <w:rFonts w:ascii="Calibri" w:hAnsi="Calibri"/>
          <w:noProof/>
        </w:rPr>
        <w:t>indings from the 20</w:t>
      </w:r>
      <w:r>
        <w:rPr>
          <w:rFonts w:ascii="Calibri" w:hAnsi="Calibri"/>
          <w:noProof/>
        </w:rPr>
        <w:t>16</w:t>
      </w:r>
      <w:r w:rsidRPr="0096701B">
        <w:rPr>
          <w:rFonts w:ascii="Calibri" w:hAnsi="Calibri"/>
          <w:noProof/>
        </w:rPr>
        <w:t xml:space="preserve"> C</w:t>
      </w:r>
      <w:r>
        <w:rPr>
          <w:rFonts w:ascii="Calibri" w:hAnsi="Calibri"/>
          <w:noProof/>
        </w:rPr>
        <w:t>ensus</w:t>
      </w:r>
      <w:r w:rsidRPr="0096701B">
        <w:rPr>
          <w:rFonts w:ascii="Calibri" w:hAnsi="Calibri"/>
          <w:noProof/>
        </w:rPr>
        <w:t xml:space="preserve"> concerning incomes, family structure and rental levels, were examined to </w:t>
      </w:r>
      <w:r>
        <w:rPr>
          <w:rFonts w:ascii="Calibri" w:hAnsi="Calibri"/>
          <w:noProof/>
        </w:rPr>
        <w:t>document</w:t>
      </w:r>
      <w:r w:rsidRPr="0096701B">
        <w:rPr>
          <w:rFonts w:ascii="Calibri" w:hAnsi="Calibri"/>
          <w:noProof/>
        </w:rPr>
        <w:t xml:space="preserve"> the extent of financial stress faced by families, after paying rent. </w:t>
      </w:r>
      <w:r w:rsidRPr="00A552DA">
        <w:rPr>
          <w:rFonts w:ascii="Calibri" w:hAnsi="Calibri"/>
          <w:noProof/>
        </w:rPr>
        <w:t>Rental costs are deducted from household incomes for various t</w:t>
      </w:r>
      <w:r>
        <w:rPr>
          <w:rFonts w:ascii="Calibri" w:hAnsi="Calibri"/>
          <w:noProof/>
        </w:rPr>
        <w:t>ypes of one-family households, t</w:t>
      </w:r>
      <w:r w:rsidRPr="00A552DA">
        <w:rPr>
          <w:rFonts w:ascii="Calibri" w:hAnsi="Calibri"/>
          <w:noProof/>
        </w:rPr>
        <w:t>hen equivalence scales applied to determine the percentage</w:t>
      </w:r>
      <w:r>
        <w:rPr>
          <w:rFonts w:ascii="Calibri" w:hAnsi="Calibri"/>
          <w:noProof/>
        </w:rPr>
        <w:t xml:space="preserve"> of households</w:t>
      </w:r>
      <w:r w:rsidRPr="00A552DA">
        <w:rPr>
          <w:rFonts w:ascii="Calibri" w:hAnsi="Calibri"/>
          <w:noProof/>
        </w:rPr>
        <w:t xml:space="preserve"> with an income, after paying rent, equivalent to a single person </w:t>
      </w:r>
      <w:r>
        <w:rPr>
          <w:rFonts w:ascii="Calibri" w:hAnsi="Calibri"/>
          <w:noProof/>
        </w:rPr>
        <w:t xml:space="preserve">on the poverty line of $354 p.w. Households falling below that standard of living were regarded as </w:t>
      </w:r>
      <w:r>
        <w:rPr>
          <w:rFonts w:ascii="Calibri" w:hAnsi="Calibri"/>
          <w:noProof/>
          <w:lang w:eastAsia="en-AU"/>
        </w:rPr>
        <w:drawing>
          <wp:anchor distT="0" distB="0" distL="114300" distR="114300" simplePos="0" relativeHeight="251667456" behindDoc="0" locked="0" layoutInCell="1" allowOverlap="1" wp14:anchorId="72B091F5" wp14:editId="7ADC5CEF">
            <wp:simplePos x="0" y="0"/>
            <wp:positionH relativeFrom="column">
              <wp:posOffset>2689860</wp:posOffset>
            </wp:positionH>
            <wp:positionV relativeFrom="line">
              <wp:posOffset>29527</wp:posOffset>
            </wp:positionV>
            <wp:extent cx="3422650" cy="2694305"/>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2650" cy="26943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t>experiencing rent-related poverty.</w:t>
      </w:r>
    </w:p>
    <w:p w14:paraId="7DBD2476" w14:textId="77777777" w:rsidR="00110D98" w:rsidRDefault="00110D98" w:rsidP="00110D98">
      <w:pPr>
        <w:pStyle w:val="IntroParagraphtoeachChapter"/>
        <w:pBdr>
          <w:bottom w:val="none" w:sz="0" w:space="0" w:color="auto"/>
        </w:pBdr>
        <w:spacing w:before="0"/>
        <w:rPr>
          <w:rFonts w:ascii="Calibri" w:hAnsi="Calibri"/>
          <w:noProof/>
          <w:color w:val="808080"/>
          <w:sz w:val="18"/>
          <w:szCs w:val="18"/>
        </w:rPr>
      </w:pPr>
      <w:r w:rsidRPr="00190B5D">
        <w:rPr>
          <w:rFonts w:ascii="Calibri" w:hAnsi="Calibri"/>
          <w:noProof/>
          <w:color w:val="808080"/>
          <w:sz w:val="18"/>
          <w:szCs w:val="18"/>
        </w:rPr>
        <w:t xml:space="preserve">Percentage of Renters in Housing-related </w:t>
      </w:r>
      <w:r>
        <w:rPr>
          <w:rFonts w:ascii="Calibri" w:hAnsi="Calibri"/>
          <w:noProof/>
          <w:color w:val="808080"/>
          <w:sz w:val="18"/>
          <w:szCs w:val="18"/>
        </w:rPr>
        <w:t>Poverty</w:t>
      </w:r>
      <w:r w:rsidRPr="00190B5D">
        <w:rPr>
          <w:rFonts w:ascii="Calibri" w:hAnsi="Calibri"/>
          <w:noProof/>
          <w:color w:val="808080"/>
          <w:sz w:val="18"/>
          <w:szCs w:val="18"/>
        </w:rPr>
        <w:t>,</w:t>
      </w:r>
    </w:p>
    <w:p w14:paraId="5C2CC40B" w14:textId="77777777" w:rsidR="00110D98" w:rsidRDefault="00110D98" w:rsidP="00110D98">
      <w:pPr>
        <w:pStyle w:val="IntroParagraphtoeachChapter"/>
        <w:pBdr>
          <w:bottom w:val="none" w:sz="0" w:space="0" w:color="auto"/>
        </w:pBdr>
        <w:spacing w:before="0" w:after="120"/>
        <w:rPr>
          <w:rFonts w:ascii="Calibri" w:hAnsi="Calibri"/>
          <w:noProof/>
          <w:color w:val="808080"/>
          <w:sz w:val="18"/>
          <w:szCs w:val="18"/>
        </w:rPr>
      </w:pPr>
      <w:r w:rsidRPr="00190B5D">
        <w:rPr>
          <w:rFonts w:ascii="Calibri" w:hAnsi="Calibri"/>
          <w:noProof/>
          <w:color w:val="808080"/>
          <w:sz w:val="18"/>
          <w:szCs w:val="18"/>
        </w:rPr>
        <w:t>by Household Type: Greater Dandenong, 201</w:t>
      </w:r>
      <w:r>
        <w:rPr>
          <w:rFonts w:ascii="Calibri" w:hAnsi="Calibri"/>
          <w:noProof/>
          <w:color w:val="808080"/>
          <w:sz w:val="18"/>
          <w:szCs w:val="18"/>
        </w:rPr>
        <w:t>6</w:t>
      </w:r>
    </w:p>
    <w:p w14:paraId="3C69B988" w14:textId="77777777" w:rsidR="00110D98" w:rsidRDefault="00110D98" w:rsidP="00110D98">
      <w:pPr>
        <w:tabs>
          <w:tab w:val="left" w:pos="4395"/>
        </w:tabs>
        <w:spacing w:line="360" w:lineRule="auto"/>
        <w:jc w:val="both"/>
        <w:rPr>
          <w:rFonts w:ascii="Calibri" w:hAnsi="Calibri"/>
          <w:noProof/>
        </w:rPr>
      </w:pPr>
      <w:bookmarkStart w:id="2" w:name="_Toc238291994"/>
      <w:r>
        <w:rPr>
          <w:rFonts w:ascii="Calibri" w:hAnsi="Calibri"/>
          <w:noProof/>
        </w:rPr>
        <w:t>I</w:t>
      </w:r>
      <w:r w:rsidRPr="0096701B">
        <w:rPr>
          <w:rFonts w:ascii="Calibri" w:hAnsi="Calibri"/>
          <w:noProof/>
        </w:rPr>
        <w:t>n</w:t>
      </w:r>
      <w:r>
        <w:rPr>
          <w:rFonts w:ascii="Calibri" w:hAnsi="Calibri"/>
          <w:noProof/>
        </w:rPr>
        <w:t xml:space="preserve"> </w:t>
      </w:r>
      <w:r w:rsidRPr="0096701B">
        <w:rPr>
          <w:rFonts w:ascii="Calibri" w:hAnsi="Calibri"/>
          <w:noProof/>
        </w:rPr>
        <w:t>Greater</w:t>
      </w:r>
      <w:r>
        <w:rPr>
          <w:rFonts w:ascii="Calibri" w:hAnsi="Calibri"/>
          <w:noProof/>
        </w:rPr>
        <w:t xml:space="preserve"> </w:t>
      </w:r>
      <w:r w:rsidRPr="0096701B">
        <w:rPr>
          <w:rFonts w:ascii="Calibri" w:hAnsi="Calibri"/>
          <w:noProof/>
        </w:rPr>
        <w:t xml:space="preserve">Dandenong, </w:t>
      </w:r>
      <w:r>
        <w:rPr>
          <w:rFonts w:ascii="Calibri" w:hAnsi="Calibri"/>
          <w:noProof/>
        </w:rPr>
        <w:t>55</w:t>
      </w:r>
      <w:r w:rsidRPr="0096701B">
        <w:rPr>
          <w:rFonts w:ascii="Calibri" w:hAnsi="Calibri"/>
          <w:noProof/>
        </w:rPr>
        <w:t xml:space="preserve">% of </w:t>
      </w:r>
      <w:r>
        <w:rPr>
          <w:rFonts w:ascii="Calibri" w:hAnsi="Calibri"/>
          <w:noProof/>
        </w:rPr>
        <w:t>lone person households and 59% of</w:t>
      </w:r>
      <w:bookmarkEnd w:id="2"/>
      <w:r>
        <w:rPr>
          <w:rFonts w:ascii="Calibri" w:hAnsi="Calibri"/>
          <w:noProof/>
          <w:color w:val="808080"/>
          <w:sz w:val="18"/>
          <w:szCs w:val="18"/>
        </w:rPr>
        <w:t xml:space="preserve"> </w:t>
      </w:r>
      <w:r w:rsidRPr="00A06FAF">
        <w:rPr>
          <w:rFonts w:ascii="Calibri" w:hAnsi="Calibri"/>
          <w:noProof/>
        </w:rPr>
        <w:t xml:space="preserve">renting </w:t>
      </w:r>
      <w:r>
        <w:rPr>
          <w:rFonts w:ascii="Calibri" w:hAnsi="Calibri"/>
          <w:noProof/>
        </w:rPr>
        <w:t>one-parent families were living in rent-related poverty</w:t>
      </w:r>
      <w:r w:rsidRPr="0096701B">
        <w:rPr>
          <w:rFonts w:ascii="Calibri" w:hAnsi="Calibri"/>
          <w:noProof/>
        </w:rPr>
        <w:t>.</w:t>
      </w:r>
    </w:p>
    <w:p w14:paraId="3EFF6096" w14:textId="77777777" w:rsidR="00110D98" w:rsidRDefault="00110D98" w:rsidP="00110D98">
      <w:pPr>
        <w:tabs>
          <w:tab w:val="left" w:pos="4395"/>
        </w:tabs>
        <w:spacing w:line="360" w:lineRule="auto"/>
        <w:jc w:val="both"/>
        <w:rPr>
          <w:rFonts w:ascii="Calibri" w:hAnsi="Calibri"/>
          <w:noProof/>
        </w:rPr>
      </w:pPr>
      <w:r>
        <w:rPr>
          <w:rFonts w:ascii="Calibri" w:hAnsi="Calibri"/>
          <w:noProof/>
        </w:rPr>
        <w:t>By contrast, just 16% of group households faced such hardship.</w:t>
      </w:r>
    </w:p>
    <w:p w14:paraId="66292D96" w14:textId="77777777" w:rsidR="00110D98" w:rsidRDefault="00110D98" w:rsidP="00110D98">
      <w:pPr>
        <w:tabs>
          <w:tab w:val="left" w:pos="4395"/>
        </w:tabs>
        <w:spacing w:line="360" w:lineRule="auto"/>
        <w:jc w:val="both"/>
        <w:rPr>
          <w:rFonts w:ascii="Calibri" w:hAnsi="Calibri"/>
          <w:noProof/>
        </w:rPr>
      </w:pPr>
      <w:r>
        <w:rPr>
          <w:rFonts w:ascii="Calibri" w:hAnsi="Calibri"/>
          <w:noProof/>
        </w:rPr>
        <w:t>Overall, 38% of renting households in Greater Dandenong faced poverty after paying their rent, the second highest level in Victoria , and higher than the comparable State figure of 32%.</w:t>
      </w:r>
    </w:p>
    <w:p w14:paraId="54C6BE30" w14:textId="77777777" w:rsidR="00110D98" w:rsidRDefault="00110D98" w:rsidP="00110D98">
      <w:pPr>
        <w:tabs>
          <w:tab w:val="left" w:pos="4395"/>
        </w:tabs>
        <w:spacing w:line="360" w:lineRule="auto"/>
        <w:jc w:val="both"/>
        <w:rPr>
          <w:rFonts w:ascii="Calibri" w:hAnsi="Calibri"/>
          <w:noProof/>
        </w:rPr>
      </w:pPr>
    </w:p>
    <w:p w14:paraId="677B2A73" w14:textId="77777777" w:rsidR="00110D98" w:rsidRDefault="00110D98" w:rsidP="00110D98">
      <w:pPr>
        <w:pStyle w:val="IntroParagraphtoeachChapter"/>
        <w:pBdr>
          <w:bottom w:val="none" w:sz="0" w:space="0" w:color="auto"/>
        </w:pBdr>
        <w:spacing w:before="0"/>
        <w:rPr>
          <w:rFonts w:ascii="Calibri" w:hAnsi="Calibri"/>
          <w:b/>
        </w:rPr>
      </w:pPr>
      <w:r>
        <w:rPr>
          <w:rFonts w:ascii="Calibri" w:hAnsi="Calibri"/>
          <w:b/>
        </w:rPr>
        <w:lastRenderedPageBreak/>
        <w:t>Overcrowding of Private Dwellings</w:t>
      </w:r>
    </w:p>
    <w:p w14:paraId="7B187702" w14:textId="77777777" w:rsidR="00110D98" w:rsidRPr="00DD6DDD" w:rsidRDefault="00110D98" w:rsidP="00110D98">
      <w:pPr>
        <w:tabs>
          <w:tab w:val="left" w:pos="4395"/>
        </w:tabs>
        <w:spacing w:line="360" w:lineRule="auto"/>
        <w:jc w:val="both"/>
        <w:rPr>
          <w:rFonts w:ascii="Calibri" w:hAnsi="Calibri"/>
          <w:noProof/>
        </w:rPr>
      </w:pPr>
      <w:r>
        <w:rPr>
          <w:rFonts w:ascii="Calibri" w:hAnsi="Calibri"/>
          <w:noProof/>
          <w:lang w:eastAsia="en-AU"/>
        </w:rPr>
        <w:drawing>
          <wp:anchor distT="0" distB="0" distL="114300" distR="114300" simplePos="0" relativeHeight="251659264" behindDoc="0" locked="0" layoutInCell="1" allowOverlap="1" wp14:anchorId="72E6439E" wp14:editId="06BCFBEA">
            <wp:simplePos x="0" y="0"/>
            <wp:positionH relativeFrom="column">
              <wp:posOffset>79375</wp:posOffset>
            </wp:positionH>
            <wp:positionV relativeFrom="paragraph">
              <wp:posOffset>42545</wp:posOffset>
            </wp:positionV>
            <wp:extent cx="3819525" cy="5949950"/>
            <wp:effectExtent l="0" t="0" r="9525"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
                      <a:extLst>
                        <a:ext uri="{28A0092B-C50C-407E-A947-70E740481C1C}">
                          <a14:useLocalDpi xmlns:a14="http://schemas.microsoft.com/office/drawing/2010/main" val="0"/>
                        </a:ext>
                      </a:extLst>
                    </a:blip>
                    <a:srcRect r="10046" b="1208"/>
                    <a:stretch>
                      <a:fillRect/>
                    </a:stretch>
                  </pic:blipFill>
                  <pic:spPr bwMode="auto">
                    <a:xfrm>
                      <a:off x="0" y="0"/>
                      <a:ext cx="3819525" cy="5949950"/>
                    </a:xfrm>
                    <a:prstGeom prst="rect">
                      <a:avLst/>
                    </a:prstGeom>
                    <a:noFill/>
                  </pic:spPr>
                </pic:pic>
              </a:graphicData>
            </a:graphic>
            <wp14:sizeRelH relativeFrom="page">
              <wp14:pctWidth>0</wp14:pctWidth>
            </wp14:sizeRelH>
            <wp14:sizeRelV relativeFrom="page">
              <wp14:pctHeight>0</wp14:pctHeight>
            </wp14:sizeRelV>
          </wp:anchor>
        </w:drawing>
      </w:r>
      <w:r w:rsidRPr="00DD6DDD">
        <w:rPr>
          <w:rFonts w:ascii="Calibri" w:hAnsi="Calibri"/>
          <w:noProof/>
        </w:rPr>
        <w:t xml:space="preserve">To measure the proportion of private dwellings that were overcrowded, </w:t>
      </w:r>
      <w:r>
        <w:rPr>
          <w:rFonts w:ascii="Calibri" w:hAnsi="Calibri"/>
          <w:noProof/>
        </w:rPr>
        <w:t>conditions were</w:t>
      </w:r>
      <w:r w:rsidRPr="00DD6DDD">
        <w:rPr>
          <w:rFonts w:ascii="Calibri" w:hAnsi="Calibri"/>
          <w:noProof/>
        </w:rPr>
        <w:t xml:space="preserve"> defined as persons living in private dwellings where there are either:</w:t>
      </w:r>
    </w:p>
    <w:p w14:paraId="749A83E1" w14:textId="77777777" w:rsidR="00110D98" w:rsidRPr="00DD6DDD" w:rsidRDefault="00110D98" w:rsidP="00110D98">
      <w:pPr>
        <w:numPr>
          <w:ilvl w:val="0"/>
          <w:numId w:val="5"/>
        </w:numPr>
        <w:tabs>
          <w:tab w:val="left" w:pos="284"/>
          <w:tab w:val="left" w:pos="4395"/>
        </w:tabs>
        <w:ind w:left="284" w:hanging="284"/>
        <w:jc w:val="both"/>
        <w:rPr>
          <w:rFonts w:ascii="Calibri" w:hAnsi="Calibri"/>
          <w:noProof/>
        </w:rPr>
      </w:pPr>
      <w:r w:rsidRPr="00DD6DDD">
        <w:rPr>
          <w:rFonts w:ascii="Calibri" w:hAnsi="Calibri"/>
          <w:noProof/>
        </w:rPr>
        <w:t>4 or more persons in a dwelling with 0 or 1 bedrooms</w:t>
      </w:r>
    </w:p>
    <w:p w14:paraId="66C24E30" w14:textId="77777777" w:rsidR="00110D98" w:rsidRDefault="00110D98" w:rsidP="00110D98">
      <w:pPr>
        <w:numPr>
          <w:ilvl w:val="0"/>
          <w:numId w:val="5"/>
        </w:numPr>
        <w:tabs>
          <w:tab w:val="left" w:pos="284"/>
          <w:tab w:val="left" w:pos="4395"/>
        </w:tabs>
        <w:ind w:left="284" w:hanging="284"/>
        <w:jc w:val="both"/>
        <w:rPr>
          <w:rFonts w:ascii="Calibri" w:hAnsi="Calibri"/>
          <w:noProof/>
        </w:rPr>
      </w:pPr>
      <w:r w:rsidRPr="00DD6DDD">
        <w:rPr>
          <w:rFonts w:ascii="Calibri" w:hAnsi="Calibri"/>
          <w:noProof/>
        </w:rPr>
        <w:t>6 or more persons in a dwelling of 2 bedrooms</w:t>
      </w:r>
    </w:p>
    <w:p w14:paraId="473E8697" w14:textId="77777777" w:rsidR="00110D98" w:rsidRPr="00DD6DDD" w:rsidRDefault="00110D98" w:rsidP="00110D98">
      <w:pPr>
        <w:tabs>
          <w:tab w:val="left" w:pos="993"/>
          <w:tab w:val="left" w:pos="4395"/>
        </w:tabs>
        <w:spacing w:line="360" w:lineRule="auto"/>
        <w:ind w:left="633"/>
        <w:jc w:val="both"/>
        <w:rPr>
          <w:rFonts w:ascii="Calibri" w:hAnsi="Calibri"/>
          <w:noProof/>
        </w:rPr>
      </w:pPr>
    </w:p>
    <w:p w14:paraId="44BE3210" w14:textId="77777777" w:rsidR="00110D98" w:rsidRPr="00CA01BE" w:rsidRDefault="00110D98" w:rsidP="00110D98">
      <w:pPr>
        <w:tabs>
          <w:tab w:val="left" w:pos="4395"/>
        </w:tabs>
        <w:jc w:val="both"/>
        <w:rPr>
          <w:rFonts w:ascii="Calibri" w:hAnsi="Calibri"/>
          <w:noProof/>
          <w:color w:val="7F7F7F"/>
          <w:sz w:val="20"/>
          <w:szCs w:val="20"/>
        </w:rPr>
      </w:pPr>
      <w:r w:rsidRPr="00CA01BE">
        <w:rPr>
          <w:rFonts w:ascii="Calibri" w:hAnsi="Calibri"/>
          <w:noProof/>
          <w:color w:val="7F7F7F"/>
          <w:sz w:val="20"/>
          <w:szCs w:val="20"/>
        </w:rPr>
        <w:t>Proportion of private dwellings that are overcrowded: metropolitan municipalities, 2016</w:t>
      </w:r>
    </w:p>
    <w:p w14:paraId="4F93562B" w14:textId="77777777" w:rsidR="00110D98" w:rsidRPr="00DD6DDD" w:rsidRDefault="00110D98" w:rsidP="00110D98">
      <w:pPr>
        <w:tabs>
          <w:tab w:val="left" w:pos="4395"/>
        </w:tabs>
        <w:spacing w:line="360" w:lineRule="auto"/>
        <w:jc w:val="both"/>
        <w:rPr>
          <w:rFonts w:ascii="Calibri" w:hAnsi="Calibri"/>
          <w:noProof/>
        </w:rPr>
      </w:pPr>
    </w:p>
    <w:p w14:paraId="625D9EF6" w14:textId="77777777" w:rsidR="00110D98" w:rsidRDefault="00110D98" w:rsidP="00110D98">
      <w:pPr>
        <w:tabs>
          <w:tab w:val="left" w:pos="4395"/>
        </w:tabs>
        <w:spacing w:line="360" w:lineRule="auto"/>
        <w:jc w:val="both"/>
        <w:rPr>
          <w:rFonts w:ascii="Calibri" w:hAnsi="Calibri"/>
          <w:noProof/>
        </w:rPr>
      </w:pPr>
      <w:r>
        <w:rPr>
          <w:rFonts w:ascii="Calibri" w:hAnsi="Calibri"/>
          <w:noProof/>
        </w:rPr>
        <w:t>Based on the findings of the 2016 Census, it was determined that 4.1% of private dwellings, numbering 5,720 homes, were overcrowded – the highest proportion in metropolitan Melbourne.</w:t>
      </w:r>
    </w:p>
    <w:p w14:paraId="3CA8406C" w14:textId="77777777" w:rsidR="00110D98" w:rsidRDefault="00110D98" w:rsidP="00110D98">
      <w:pPr>
        <w:tabs>
          <w:tab w:val="left" w:pos="4395"/>
        </w:tabs>
        <w:spacing w:line="360" w:lineRule="auto"/>
        <w:jc w:val="both"/>
        <w:rPr>
          <w:rFonts w:ascii="Calibri" w:hAnsi="Calibri"/>
          <w:noProof/>
        </w:rPr>
      </w:pPr>
    </w:p>
    <w:p w14:paraId="1DBC4F25" w14:textId="77777777" w:rsidR="00110D98" w:rsidRDefault="00110D98" w:rsidP="00110D98">
      <w:pPr>
        <w:tabs>
          <w:tab w:val="left" w:pos="4395"/>
        </w:tabs>
        <w:spacing w:line="360" w:lineRule="auto"/>
        <w:jc w:val="both"/>
        <w:rPr>
          <w:rFonts w:ascii="Calibri" w:hAnsi="Calibri"/>
          <w:noProof/>
        </w:rPr>
      </w:pPr>
    </w:p>
    <w:p w14:paraId="5C350519" w14:textId="77777777" w:rsidR="00110D98" w:rsidRDefault="00110D98" w:rsidP="00110D98">
      <w:pPr>
        <w:tabs>
          <w:tab w:val="left" w:pos="4395"/>
        </w:tabs>
        <w:spacing w:line="360" w:lineRule="auto"/>
        <w:jc w:val="both"/>
        <w:rPr>
          <w:rFonts w:ascii="Calibri" w:hAnsi="Calibri"/>
          <w:noProof/>
        </w:rPr>
      </w:pPr>
    </w:p>
    <w:p w14:paraId="791174EF" w14:textId="77777777" w:rsidR="00110D98" w:rsidRDefault="00110D98" w:rsidP="00110D98">
      <w:pPr>
        <w:tabs>
          <w:tab w:val="left" w:pos="4395"/>
        </w:tabs>
        <w:spacing w:line="360" w:lineRule="auto"/>
        <w:jc w:val="both"/>
        <w:rPr>
          <w:rFonts w:ascii="Calibri" w:hAnsi="Calibri"/>
          <w:noProof/>
        </w:rPr>
      </w:pPr>
    </w:p>
    <w:p w14:paraId="2DBFE166" w14:textId="77777777" w:rsidR="00110D98" w:rsidRDefault="00110D98" w:rsidP="00110D98">
      <w:pPr>
        <w:tabs>
          <w:tab w:val="left" w:pos="4395"/>
        </w:tabs>
        <w:spacing w:line="360" w:lineRule="auto"/>
        <w:jc w:val="both"/>
        <w:rPr>
          <w:rFonts w:ascii="Calibri" w:hAnsi="Calibri"/>
          <w:noProof/>
        </w:rPr>
      </w:pPr>
    </w:p>
    <w:p w14:paraId="3536C12D" w14:textId="77777777" w:rsidR="00110D98" w:rsidRDefault="00110D98" w:rsidP="00110D98">
      <w:pPr>
        <w:tabs>
          <w:tab w:val="left" w:pos="4395"/>
        </w:tabs>
        <w:spacing w:line="360" w:lineRule="auto"/>
        <w:jc w:val="both"/>
        <w:rPr>
          <w:rFonts w:ascii="Calibri" w:hAnsi="Calibri"/>
          <w:noProof/>
        </w:rPr>
      </w:pPr>
    </w:p>
    <w:p w14:paraId="109D9AE4" w14:textId="77777777" w:rsidR="00110D98" w:rsidRDefault="00110D98" w:rsidP="00110D98">
      <w:pPr>
        <w:tabs>
          <w:tab w:val="left" w:pos="4395"/>
        </w:tabs>
        <w:spacing w:line="360" w:lineRule="auto"/>
        <w:jc w:val="both"/>
        <w:rPr>
          <w:rFonts w:ascii="Calibri" w:hAnsi="Calibri"/>
          <w:noProof/>
        </w:rPr>
      </w:pPr>
    </w:p>
    <w:p w14:paraId="094BD182" w14:textId="77777777" w:rsidR="00110D98" w:rsidRDefault="00110D98" w:rsidP="00110D98">
      <w:pPr>
        <w:tabs>
          <w:tab w:val="left" w:pos="4395"/>
        </w:tabs>
        <w:spacing w:line="360" w:lineRule="auto"/>
        <w:jc w:val="both"/>
        <w:rPr>
          <w:rFonts w:ascii="Calibri" w:hAnsi="Calibri"/>
          <w:noProof/>
        </w:rPr>
      </w:pPr>
    </w:p>
    <w:p w14:paraId="3CB10FF0" w14:textId="77777777" w:rsidR="00110D98" w:rsidRDefault="00110D98" w:rsidP="00110D98">
      <w:pPr>
        <w:tabs>
          <w:tab w:val="left" w:pos="4395"/>
        </w:tabs>
        <w:spacing w:line="360" w:lineRule="auto"/>
        <w:jc w:val="both"/>
        <w:rPr>
          <w:rFonts w:ascii="Calibri" w:hAnsi="Calibri"/>
          <w:noProof/>
        </w:rPr>
      </w:pPr>
      <w:r>
        <w:rPr>
          <w:rFonts w:ascii="Calibri" w:hAnsi="Calibri"/>
          <w:noProof/>
        </w:rPr>
        <w:t>Among residents in rented accommodation, 7.2% were living in overcrowded conditions, compared with 2.2% of those in dwellings that were owned or being purchased by their occupants.</w:t>
      </w:r>
    </w:p>
    <w:p w14:paraId="4C74405E" w14:textId="138EC00D" w:rsidR="00110D98" w:rsidRDefault="00110D98" w:rsidP="00110D98">
      <w:pPr>
        <w:tabs>
          <w:tab w:val="left" w:pos="4395"/>
        </w:tabs>
        <w:spacing w:line="360" w:lineRule="auto"/>
        <w:jc w:val="both"/>
        <w:rPr>
          <w:rFonts w:ascii="Calibri" w:hAnsi="Calibri"/>
          <w:noProof/>
        </w:rPr>
      </w:pPr>
      <w:r>
        <w:rPr>
          <w:rFonts w:ascii="Calibri" w:hAnsi="Calibri"/>
          <w:noProof/>
        </w:rPr>
        <w:t>Most people (86%) living in overcrowded accommodation were members of families. Of family members in overcrowded dwellings, 81% were members of couple families with children, 13% members of one-parent families and 6% couples without children.</w:t>
      </w:r>
    </w:p>
    <w:p w14:paraId="22D63649" w14:textId="77777777" w:rsidR="00110D98" w:rsidRPr="00CA01BE" w:rsidRDefault="00110D98" w:rsidP="00110D98">
      <w:pPr>
        <w:tabs>
          <w:tab w:val="left" w:pos="4395"/>
        </w:tabs>
        <w:spacing w:line="360" w:lineRule="auto"/>
        <w:jc w:val="both"/>
        <w:rPr>
          <w:rFonts w:ascii="Calibri" w:hAnsi="Calibri"/>
          <w:noProof/>
        </w:rPr>
      </w:pPr>
      <w:r>
        <w:rPr>
          <w:rFonts w:ascii="Calibri" w:hAnsi="Calibri"/>
          <w:noProof/>
        </w:rPr>
        <w:t xml:space="preserve">The distribution of overcrowding across metropolitan Melbourne, based on the findings of the 2016 Census, is illustrated below. </w:t>
      </w:r>
      <w:r>
        <w:rPr>
          <w:rStyle w:val="FootnoteReference"/>
          <w:rFonts w:ascii="Calibri" w:hAnsi="Calibri"/>
          <w:noProof/>
        </w:rPr>
        <w:footnoteReference w:id="1"/>
      </w:r>
      <w:r>
        <w:rPr>
          <w:rFonts w:ascii="Calibri" w:hAnsi="Calibri"/>
          <w:noProof/>
        </w:rPr>
        <w:t xml:space="preserve"> </w:t>
      </w:r>
      <w:r w:rsidRPr="00D30416">
        <w:rPr>
          <w:rFonts w:asciiTheme="minorHAnsi" w:hAnsiTheme="minorHAnsi"/>
          <w:noProof/>
        </w:rPr>
        <w:t>High levels of overcrowding are evident in the south-eastern, northern and western metropolitan areas.</w:t>
      </w:r>
    </w:p>
    <w:p w14:paraId="0EED43B9" w14:textId="77777777" w:rsidR="00110D98" w:rsidRDefault="00110D98" w:rsidP="00110D98">
      <w:pPr>
        <w:tabs>
          <w:tab w:val="left" w:pos="4395"/>
        </w:tabs>
        <w:jc w:val="center"/>
        <w:rPr>
          <w:rFonts w:ascii="Calibri" w:hAnsi="Calibri"/>
          <w:noProof/>
          <w:color w:val="7F7F7F"/>
          <w:sz w:val="20"/>
          <w:szCs w:val="20"/>
        </w:rPr>
      </w:pPr>
      <w:r w:rsidRPr="00D20B88">
        <w:rPr>
          <w:rFonts w:ascii="Calibri" w:hAnsi="Calibri"/>
          <w:noProof/>
          <w:color w:val="7F7F7F"/>
          <w:sz w:val="20"/>
          <w:szCs w:val="20"/>
        </w:rPr>
        <w:lastRenderedPageBreak/>
        <w:t>Percent of Private Dwellings which are Overcrowded: metropolitan Melbourne, 2016</w:t>
      </w:r>
    </w:p>
    <w:p w14:paraId="3F4BC256" w14:textId="77777777" w:rsidR="00110D98" w:rsidRDefault="00110D98" w:rsidP="00110D98">
      <w:pPr>
        <w:tabs>
          <w:tab w:val="left" w:pos="4395"/>
        </w:tabs>
        <w:jc w:val="both"/>
        <w:rPr>
          <w:rFonts w:ascii="Calibri" w:hAnsi="Calibri"/>
          <w:noProof/>
          <w:color w:val="7F7F7F"/>
          <w:sz w:val="20"/>
          <w:szCs w:val="20"/>
        </w:rPr>
      </w:pPr>
      <w:r>
        <w:rPr>
          <w:rFonts w:ascii="Calibri" w:hAnsi="Calibri"/>
          <w:noProof/>
          <w:lang w:eastAsia="en-AU"/>
        </w:rPr>
        <w:drawing>
          <wp:anchor distT="0" distB="0" distL="114300" distR="114300" simplePos="0" relativeHeight="251670528" behindDoc="0" locked="0" layoutInCell="1" allowOverlap="1" wp14:anchorId="1B18E8B2" wp14:editId="25A3C058">
            <wp:simplePos x="0" y="0"/>
            <wp:positionH relativeFrom="column">
              <wp:posOffset>356235</wp:posOffset>
            </wp:positionH>
            <wp:positionV relativeFrom="line">
              <wp:posOffset>14605</wp:posOffset>
            </wp:positionV>
            <wp:extent cx="5457825" cy="5596890"/>
            <wp:effectExtent l="0" t="0" r="9525" b="3810"/>
            <wp:wrapSquare wrapText="bothSides"/>
            <wp:docPr id="3" name="Picture 3" descr="M Dwellings Overcrowded (% dwel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 Dwellings Overcrowded (% dwellings)"/>
                    <pic:cNvPicPr>
                      <a:picLocks noChangeAspect="1" noChangeArrowheads="1"/>
                    </pic:cNvPicPr>
                  </pic:nvPicPr>
                  <pic:blipFill>
                    <a:blip r:embed="rId21" cstate="print">
                      <a:extLst>
                        <a:ext uri="{28A0092B-C50C-407E-A947-70E740481C1C}">
                          <a14:useLocalDpi xmlns:a14="http://schemas.microsoft.com/office/drawing/2010/main" val="0"/>
                        </a:ext>
                      </a:extLst>
                    </a:blip>
                    <a:srcRect l="2603" t="15443" r="1047" b="14529"/>
                    <a:stretch>
                      <a:fillRect/>
                    </a:stretch>
                  </pic:blipFill>
                  <pic:spPr bwMode="auto">
                    <a:xfrm>
                      <a:off x="0" y="0"/>
                      <a:ext cx="5457825" cy="5596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86B2493" w14:textId="77777777" w:rsidR="00110D98" w:rsidRPr="00D20B88" w:rsidRDefault="00110D98" w:rsidP="00110D98">
      <w:pPr>
        <w:tabs>
          <w:tab w:val="left" w:pos="4395"/>
        </w:tabs>
        <w:jc w:val="both"/>
        <w:rPr>
          <w:rFonts w:ascii="Calibri" w:hAnsi="Calibri"/>
          <w:noProof/>
          <w:color w:val="7F7F7F"/>
          <w:sz w:val="20"/>
          <w:szCs w:val="20"/>
        </w:rPr>
      </w:pPr>
    </w:p>
    <w:p w14:paraId="2166F23F" w14:textId="77777777" w:rsidR="00110D98" w:rsidRDefault="00110D98" w:rsidP="00110D98">
      <w:pPr>
        <w:tabs>
          <w:tab w:val="left" w:pos="4395"/>
        </w:tabs>
        <w:spacing w:line="360" w:lineRule="auto"/>
        <w:jc w:val="center"/>
        <w:rPr>
          <w:rFonts w:ascii="Calibri" w:hAnsi="Calibri"/>
          <w:noProof/>
        </w:rPr>
      </w:pPr>
    </w:p>
    <w:p w14:paraId="0568225F" w14:textId="77777777" w:rsidR="00110D98" w:rsidRDefault="00110D98" w:rsidP="00110D98">
      <w:pPr>
        <w:tabs>
          <w:tab w:val="left" w:pos="4395"/>
        </w:tabs>
        <w:jc w:val="both"/>
        <w:rPr>
          <w:rFonts w:ascii="Calibri" w:hAnsi="Calibri"/>
          <w:noProof/>
          <w:color w:val="7F7F7F"/>
          <w:sz w:val="18"/>
          <w:szCs w:val="18"/>
        </w:rPr>
      </w:pPr>
    </w:p>
    <w:p w14:paraId="06FB54EE" w14:textId="77777777" w:rsidR="00110D98" w:rsidRDefault="00110D98" w:rsidP="00110D98">
      <w:pPr>
        <w:tabs>
          <w:tab w:val="left" w:pos="4395"/>
        </w:tabs>
        <w:jc w:val="both"/>
        <w:rPr>
          <w:rFonts w:ascii="Calibri" w:hAnsi="Calibri"/>
          <w:noProof/>
          <w:color w:val="7F7F7F"/>
          <w:sz w:val="18"/>
          <w:szCs w:val="18"/>
        </w:rPr>
      </w:pPr>
    </w:p>
    <w:p w14:paraId="72F5EDB3" w14:textId="77777777" w:rsidR="00110D98" w:rsidRDefault="00110D98" w:rsidP="00110D98">
      <w:pPr>
        <w:tabs>
          <w:tab w:val="left" w:pos="4395"/>
        </w:tabs>
        <w:jc w:val="both"/>
        <w:rPr>
          <w:rFonts w:ascii="Calibri" w:hAnsi="Calibri"/>
          <w:noProof/>
          <w:color w:val="7F7F7F"/>
          <w:sz w:val="18"/>
          <w:szCs w:val="18"/>
        </w:rPr>
      </w:pPr>
    </w:p>
    <w:p w14:paraId="5FACD18E" w14:textId="77777777" w:rsidR="00110D98" w:rsidRDefault="00110D98" w:rsidP="00110D98">
      <w:pPr>
        <w:tabs>
          <w:tab w:val="left" w:pos="4395"/>
        </w:tabs>
        <w:jc w:val="both"/>
        <w:rPr>
          <w:rFonts w:ascii="Calibri" w:hAnsi="Calibri"/>
          <w:noProof/>
          <w:color w:val="7F7F7F"/>
          <w:sz w:val="18"/>
          <w:szCs w:val="18"/>
        </w:rPr>
      </w:pPr>
    </w:p>
    <w:p w14:paraId="03F01339" w14:textId="77777777" w:rsidR="00110D98" w:rsidRDefault="00110D98" w:rsidP="00110D98">
      <w:pPr>
        <w:tabs>
          <w:tab w:val="left" w:pos="4395"/>
        </w:tabs>
        <w:jc w:val="both"/>
        <w:rPr>
          <w:rFonts w:ascii="Calibri" w:hAnsi="Calibri"/>
          <w:noProof/>
          <w:color w:val="7F7F7F"/>
          <w:sz w:val="18"/>
          <w:szCs w:val="18"/>
        </w:rPr>
      </w:pPr>
    </w:p>
    <w:p w14:paraId="2C1E34FF" w14:textId="77777777" w:rsidR="00110D98" w:rsidRDefault="00110D98" w:rsidP="00110D98">
      <w:pPr>
        <w:tabs>
          <w:tab w:val="left" w:pos="4395"/>
        </w:tabs>
        <w:jc w:val="both"/>
        <w:rPr>
          <w:rFonts w:ascii="Calibri" w:hAnsi="Calibri"/>
          <w:noProof/>
          <w:color w:val="7F7F7F"/>
          <w:sz w:val="18"/>
          <w:szCs w:val="18"/>
        </w:rPr>
      </w:pPr>
    </w:p>
    <w:p w14:paraId="1DE3D276" w14:textId="77777777" w:rsidR="00110D98" w:rsidRDefault="00110D98" w:rsidP="00110D98">
      <w:pPr>
        <w:tabs>
          <w:tab w:val="left" w:pos="4395"/>
        </w:tabs>
        <w:jc w:val="both"/>
        <w:rPr>
          <w:rFonts w:ascii="Calibri" w:hAnsi="Calibri"/>
          <w:noProof/>
          <w:color w:val="7F7F7F"/>
          <w:sz w:val="18"/>
          <w:szCs w:val="18"/>
        </w:rPr>
      </w:pPr>
    </w:p>
    <w:p w14:paraId="480DB8B5" w14:textId="77777777" w:rsidR="00110D98" w:rsidRDefault="00110D98" w:rsidP="00110D98">
      <w:pPr>
        <w:tabs>
          <w:tab w:val="left" w:pos="4395"/>
        </w:tabs>
        <w:jc w:val="both"/>
        <w:rPr>
          <w:rFonts w:ascii="Calibri" w:hAnsi="Calibri"/>
          <w:noProof/>
          <w:color w:val="7F7F7F"/>
          <w:sz w:val="18"/>
          <w:szCs w:val="18"/>
        </w:rPr>
      </w:pPr>
    </w:p>
    <w:p w14:paraId="5173C84D" w14:textId="77777777" w:rsidR="00110D98" w:rsidRDefault="00110D98" w:rsidP="00110D98">
      <w:pPr>
        <w:tabs>
          <w:tab w:val="left" w:pos="4395"/>
        </w:tabs>
        <w:jc w:val="both"/>
        <w:rPr>
          <w:rFonts w:ascii="Calibri" w:hAnsi="Calibri"/>
          <w:noProof/>
          <w:color w:val="7F7F7F"/>
          <w:sz w:val="18"/>
          <w:szCs w:val="18"/>
        </w:rPr>
      </w:pPr>
    </w:p>
    <w:p w14:paraId="61D815ED" w14:textId="77777777" w:rsidR="00110D98" w:rsidRDefault="00110D98" w:rsidP="00110D98">
      <w:pPr>
        <w:tabs>
          <w:tab w:val="left" w:pos="4395"/>
        </w:tabs>
        <w:jc w:val="both"/>
        <w:rPr>
          <w:rFonts w:ascii="Calibri" w:hAnsi="Calibri"/>
          <w:noProof/>
          <w:color w:val="7F7F7F"/>
          <w:sz w:val="18"/>
          <w:szCs w:val="18"/>
        </w:rPr>
      </w:pPr>
    </w:p>
    <w:p w14:paraId="39CE0AC7" w14:textId="77777777" w:rsidR="00110D98" w:rsidRDefault="00110D98" w:rsidP="00110D98">
      <w:pPr>
        <w:tabs>
          <w:tab w:val="left" w:pos="4395"/>
        </w:tabs>
        <w:jc w:val="both"/>
        <w:rPr>
          <w:rFonts w:ascii="Calibri" w:hAnsi="Calibri"/>
          <w:noProof/>
          <w:color w:val="7F7F7F"/>
          <w:sz w:val="18"/>
          <w:szCs w:val="18"/>
        </w:rPr>
      </w:pPr>
    </w:p>
    <w:p w14:paraId="30803A6D" w14:textId="77777777" w:rsidR="00110D98" w:rsidRDefault="00110D98" w:rsidP="00110D98">
      <w:pPr>
        <w:tabs>
          <w:tab w:val="left" w:pos="4395"/>
        </w:tabs>
        <w:jc w:val="both"/>
        <w:rPr>
          <w:rFonts w:ascii="Calibri" w:hAnsi="Calibri"/>
          <w:noProof/>
          <w:color w:val="7F7F7F"/>
          <w:sz w:val="18"/>
          <w:szCs w:val="18"/>
        </w:rPr>
      </w:pPr>
    </w:p>
    <w:p w14:paraId="424E4209" w14:textId="77777777" w:rsidR="00110D98" w:rsidRDefault="00110D98" w:rsidP="00110D98">
      <w:pPr>
        <w:tabs>
          <w:tab w:val="left" w:pos="4395"/>
        </w:tabs>
        <w:jc w:val="both"/>
        <w:rPr>
          <w:rFonts w:ascii="Calibri" w:hAnsi="Calibri"/>
          <w:noProof/>
          <w:color w:val="7F7F7F"/>
          <w:sz w:val="18"/>
          <w:szCs w:val="18"/>
        </w:rPr>
      </w:pPr>
    </w:p>
    <w:p w14:paraId="4F483653" w14:textId="77777777" w:rsidR="00110D98" w:rsidRDefault="00110D98" w:rsidP="00110D98">
      <w:pPr>
        <w:tabs>
          <w:tab w:val="left" w:pos="4395"/>
        </w:tabs>
        <w:jc w:val="both"/>
        <w:rPr>
          <w:rFonts w:ascii="Calibri" w:hAnsi="Calibri"/>
          <w:noProof/>
          <w:color w:val="7F7F7F"/>
          <w:sz w:val="18"/>
          <w:szCs w:val="18"/>
        </w:rPr>
      </w:pPr>
    </w:p>
    <w:p w14:paraId="2058ECF0" w14:textId="77777777" w:rsidR="00110D98" w:rsidRDefault="00110D98" w:rsidP="00110D98">
      <w:pPr>
        <w:tabs>
          <w:tab w:val="left" w:pos="4395"/>
        </w:tabs>
        <w:jc w:val="both"/>
        <w:rPr>
          <w:rFonts w:ascii="Calibri" w:hAnsi="Calibri"/>
          <w:noProof/>
          <w:color w:val="7F7F7F"/>
          <w:sz w:val="18"/>
          <w:szCs w:val="18"/>
        </w:rPr>
      </w:pPr>
    </w:p>
    <w:p w14:paraId="0E86846A" w14:textId="77777777" w:rsidR="00110D98" w:rsidRDefault="00110D98" w:rsidP="00110D98">
      <w:pPr>
        <w:tabs>
          <w:tab w:val="left" w:pos="4395"/>
        </w:tabs>
        <w:jc w:val="both"/>
        <w:rPr>
          <w:rFonts w:ascii="Calibri" w:hAnsi="Calibri"/>
          <w:noProof/>
          <w:color w:val="7F7F7F"/>
          <w:sz w:val="18"/>
          <w:szCs w:val="18"/>
        </w:rPr>
      </w:pPr>
    </w:p>
    <w:p w14:paraId="59928616" w14:textId="77777777" w:rsidR="00110D98" w:rsidRDefault="00110D98" w:rsidP="00110D98">
      <w:pPr>
        <w:tabs>
          <w:tab w:val="left" w:pos="4395"/>
        </w:tabs>
        <w:jc w:val="both"/>
        <w:rPr>
          <w:rFonts w:ascii="Calibri" w:hAnsi="Calibri"/>
          <w:noProof/>
          <w:color w:val="7F7F7F"/>
          <w:sz w:val="18"/>
          <w:szCs w:val="18"/>
        </w:rPr>
      </w:pPr>
    </w:p>
    <w:p w14:paraId="652EE0F1" w14:textId="77777777" w:rsidR="00110D98" w:rsidRDefault="00110D98" w:rsidP="00110D98">
      <w:pPr>
        <w:tabs>
          <w:tab w:val="left" w:pos="4395"/>
        </w:tabs>
        <w:jc w:val="both"/>
        <w:rPr>
          <w:rFonts w:ascii="Calibri" w:hAnsi="Calibri"/>
          <w:noProof/>
          <w:color w:val="7F7F7F"/>
          <w:sz w:val="18"/>
          <w:szCs w:val="18"/>
        </w:rPr>
      </w:pPr>
    </w:p>
    <w:p w14:paraId="52786D6B" w14:textId="77777777" w:rsidR="00110D98" w:rsidRDefault="00110D98" w:rsidP="00110D98">
      <w:pPr>
        <w:tabs>
          <w:tab w:val="left" w:pos="4395"/>
        </w:tabs>
        <w:jc w:val="both"/>
        <w:rPr>
          <w:rFonts w:ascii="Calibri" w:hAnsi="Calibri"/>
          <w:noProof/>
          <w:color w:val="7F7F7F"/>
          <w:sz w:val="18"/>
          <w:szCs w:val="18"/>
        </w:rPr>
      </w:pPr>
    </w:p>
    <w:p w14:paraId="710A82FA" w14:textId="77777777" w:rsidR="00110D98" w:rsidRDefault="00110D98" w:rsidP="00110D98">
      <w:pPr>
        <w:tabs>
          <w:tab w:val="left" w:pos="4395"/>
        </w:tabs>
        <w:jc w:val="both"/>
        <w:rPr>
          <w:rFonts w:ascii="Calibri" w:hAnsi="Calibri"/>
          <w:noProof/>
          <w:color w:val="7F7F7F"/>
          <w:sz w:val="18"/>
          <w:szCs w:val="18"/>
        </w:rPr>
      </w:pPr>
    </w:p>
    <w:p w14:paraId="3B4F9A3F" w14:textId="77777777" w:rsidR="00110D98" w:rsidRDefault="00110D98" w:rsidP="00110D98">
      <w:pPr>
        <w:tabs>
          <w:tab w:val="left" w:pos="4395"/>
        </w:tabs>
        <w:jc w:val="both"/>
        <w:rPr>
          <w:rFonts w:ascii="Calibri" w:hAnsi="Calibri"/>
          <w:noProof/>
          <w:color w:val="7F7F7F"/>
          <w:sz w:val="18"/>
          <w:szCs w:val="18"/>
        </w:rPr>
      </w:pPr>
    </w:p>
    <w:p w14:paraId="77DD2C3D" w14:textId="77777777" w:rsidR="00110D98" w:rsidRDefault="00110D98" w:rsidP="00110D98">
      <w:pPr>
        <w:tabs>
          <w:tab w:val="left" w:pos="4395"/>
        </w:tabs>
        <w:jc w:val="both"/>
        <w:rPr>
          <w:rFonts w:ascii="Calibri" w:hAnsi="Calibri"/>
          <w:noProof/>
          <w:color w:val="7F7F7F"/>
          <w:sz w:val="18"/>
          <w:szCs w:val="18"/>
        </w:rPr>
      </w:pPr>
    </w:p>
    <w:p w14:paraId="7AF719B1" w14:textId="77777777" w:rsidR="00110D98" w:rsidRDefault="00110D98" w:rsidP="00110D98">
      <w:pPr>
        <w:tabs>
          <w:tab w:val="left" w:pos="4395"/>
        </w:tabs>
        <w:jc w:val="both"/>
        <w:rPr>
          <w:rFonts w:ascii="Calibri" w:hAnsi="Calibri"/>
          <w:noProof/>
          <w:color w:val="7F7F7F"/>
          <w:sz w:val="18"/>
          <w:szCs w:val="18"/>
        </w:rPr>
      </w:pPr>
    </w:p>
    <w:p w14:paraId="74A18D1D" w14:textId="77777777" w:rsidR="00110D98" w:rsidRDefault="00110D98" w:rsidP="00110D98">
      <w:pPr>
        <w:tabs>
          <w:tab w:val="left" w:pos="4395"/>
        </w:tabs>
        <w:jc w:val="both"/>
        <w:rPr>
          <w:rFonts w:ascii="Calibri" w:hAnsi="Calibri"/>
          <w:noProof/>
          <w:color w:val="7F7F7F"/>
          <w:sz w:val="18"/>
          <w:szCs w:val="18"/>
        </w:rPr>
      </w:pPr>
    </w:p>
    <w:p w14:paraId="74AF8E70" w14:textId="77777777" w:rsidR="00110D98" w:rsidRDefault="00110D98" w:rsidP="00110D98">
      <w:pPr>
        <w:tabs>
          <w:tab w:val="left" w:pos="4395"/>
        </w:tabs>
        <w:jc w:val="both"/>
        <w:rPr>
          <w:rFonts w:ascii="Calibri" w:hAnsi="Calibri"/>
          <w:noProof/>
          <w:color w:val="7F7F7F"/>
          <w:sz w:val="18"/>
          <w:szCs w:val="18"/>
        </w:rPr>
      </w:pPr>
    </w:p>
    <w:p w14:paraId="0DF8571A" w14:textId="77777777" w:rsidR="00110D98" w:rsidRDefault="00110D98" w:rsidP="00110D98">
      <w:pPr>
        <w:tabs>
          <w:tab w:val="left" w:pos="4395"/>
        </w:tabs>
        <w:jc w:val="both"/>
        <w:rPr>
          <w:rFonts w:ascii="Calibri" w:hAnsi="Calibri"/>
          <w:noProof/>
          <w:color w:val="7F7F7F"/>
          <w:sz w:val="18"/>
          <w:szCs w:val="18"/>
        </w:rPr>
      </w:pPr>
    </w:p>
    <w:p w14:paraId="0B323007" w14:textId="77777777" w:rsidR="00110D98" w:rsidRDefault="00110D98" w:rsidP="00110D98">
      <w:pPr>
        <w:tabs>
          <w:tab w:val="left" w:pos="4395"/>
        </w:tabs>
        <w:jc w:val="both"/>
        <w:rPr>
          <w:rFonts w:ascii="Calibri" w:hAnsi="Calibri"/>
          <w:noProof/>
          <w:color w:val="7F7F7F"/>
          <w:sz w:val="18"/>
          <w:szCs w:val="18"/>
        </w:rPr>
      </w:pPr>
    </w:p>
    <w:p w14:paraId="1F693D22" w14:textId="77777777" w:rsidR="00110D98" w:rsidRDefault="00110D98" w:rsidP="00110D98">
      <w:pPr>
        <w:tabs>
          <w:tab w:val="left" w:pos="4395"/>
        </w:tabs>
        <w:jc w:val="both"/>
        <w:rPr>
          <w:rFonts w:ascii="Calibri" w:hAnsi="Calibri"/>
          <w:noProof/>
          <w:color w:val="7F7F7F"/>
          <w:sz w:val="18"/>
          <w:szCs w:val="18"/>
        </w:rPr>
      </w:pPr>
    </w:p>
    <w:p w14:paraId="235B0ADC" w14:textId="77777777" w:rsidR="00110D98" w:rsidRDefault="00110D98" w:rsidP="00110D98">
      <w:pPr>
        <w:tabs>
          <w:tab w:val="left" w:pos="4395"/>
        </w:tabs>
        <w:jc w:val="both"/>
        <w:rPr>
          <w:rFonts w:ascii="Calibri" w:hAnsi="Calibri"/>
          <w:noProof/>
          <w:color w:val="7F7F7F"/>
          <w:sz w:val="18"/>
          <w:szCs w:val="18"/>
        </w:rPr>
      </w:pPr>
    </w:p>
    <w:p w14:paraId="76BC54AA" w14:textId="77777777" w:rsidR="00110D98" w:rsidRDefault="00110D98" w:rsidP="00110D98">
      <w:pPr>
        <w:tabs>
          <w:tab w:val="left" w:pos="4395"/>
        </w:tabs>
        <w:jc w:val="both"/>
        <w:rPr>
          <w:rFonts w:ascii="Calibri" w:hAnsi="Calibri"/>
          <w:noProof/>
          <w:color w:val="7F7F7F"/>
          <w:sz w:val="18"/>
          <w:szCs w:val="18"/>
        </w:rPr>
      </w:pPr>
    </w:p>
    <w:p w14:paraId="3208E72F" w14:textId="77777777" w:rsidR="00110D98" w:rsidRDefault="00110D98" w:rsidP="00110D98">
      <w:pPr>
        <w:tabs>
          <w:tab w:val="left" w:pos="4395"/>
        </w:tabs>
        <w:jc w:val="both"/>
        <w:rPr>
          <w:rFonts w:ascii="Calibri" w:hAnsi="Calibri"/>
          <w:noProof/>
          <w:color w:val="7F7F7F"/>
          <w:sz w:val="18"/>
          <w:szCs w:val="18"/>
        </w:rPr>
      </w:pPr>
    </w:p>
    <w:p w14:paraId="1A99BF6E" w14:textId="77777777" w:rsidR="00110D98" w:rsidRDefault="00110D98" w:rsidP="00110D98">
      <w:pPr>
        <w:tabs>
          <w:tab w:val="left" w:pos="4395"/>
        </w:tabs>
        <w:jc w:val="both"/>
        <w:rPr>
          <w:rFonts w:ascii="Calibri" w:hAnsi="Calibri"/>
          <w:noProof/>
          <w:color w:val="7F7F7F"/>
          <w:sz w:val="18"/>
          <w:szCs w:val="18"/>
        </w:rPr>
      </w:pPr>
    </w:p>
    <w:p w14:paraId="1751B222" w14:textId="77777777" w:rsidR="00110D98" w:rsidRDefault="00110D98" w:rsidP="00110D98">
      <w:pPr>
        <w:tabs>
          <w:tab w:val="left" w:pos="4395"/>
        </w:tabs>
        <w:jc w:val="both"/>
        <w:rPr>
          <w:rFonts w:ascii="Calibri" w:hAnsi="Calibri"/>
          <w:noProof/>
          <w:color w:val="7F7F7F"/>
          <w:sz w:val="18"/>
          <w:szCs w:val="18"/>
        </w:rPr>
      </w:pPr>
    </w:p>
    <w:p w14:paraId="342B8DA8" w14:textId="77777777" w:rsidR="00110D98" w:rsidRDefault="00110D98" w:rsidP="00110D98">
      <w:pPr>
        <w:tabs>
          <w:tab w:val="left" w:pos="4395"/>
        </w:tabs>
        <w:jc w:val="both"/>
        <w:rPr>
          <w:rFonts w:ascii="Calibri" w:hAnsi="Calibri"/>
          <w:noProof/>
          <w:color w:val="7F7F7F"/>
          <w:sz w:val="18"/>
          <w:szCs w:val="18"/>
        </w:rPr>
      </w:pPr>
    </w:p>
    <w:p w14:paraId="05E62E91" w14:textId="77777777" w:rsidR="00110D98" w:rsidRDefault="00110D98" w:rsidP="00110D98">
      <w:pPr>
        <w:tabs>
          <w:tab w:val="left" w:pos="4395"/>
        </w:tabs>
        <w:jc w:val="both"/>
        <w:rPr>
          <w:rFonts w:ascii="Calibri" w:hAnsi="Calibri"/>
          <w:noProof/>
          <w:color w:val="7F7F7F"/>
          <w:sz w:val="18"/>
          <w:szCs w:val="18"/>
        </w:rPr>
      </w:pPr>
    </w:p>
    <w:p w14:paraId="6A951D8E" w14:textId="77777777" w:rsidR="00110D98" w:rsidRDefault="00110D98" w:rsidP="00110D98">
      <w:pPr>
        <w:tabs>
          <w:tab w:val="left" w:pos="4395"/>
        </w:tabs>
        <w:jc w:val="both"/>
        <w:rPr>
          <w:rFonts w:ascii="Calibri" w:hAnsi="Calibri"/>
          <w:noProof/>
          <w:color w:val="7F7F7F"/>
          <w:sz w:val="18"/>
          <w:szCs w:val="18"/>
        </w:rPr>
      </w:pPr>
      <w:r>
        <w:rPr>
          <w:rFonts w:ascii="Calibri" w:hAnsi="Calibri"/>
          <w:noProof/>
          <w:lang w:eastAsia="en-AU"/>
        </w:rPr>
        <w:drawing>
          <wp:anchor distT="0" distB="0" distL="114300" distR="114300" simplePos="0" relativeHeight="251664384" behindDoc="0" locked="0" layoutInCell="1" allowOverlap="1" wp14:anchorId="1616B4FB" wp14:editId="0029BFD4">
            <wp:simplePos x="0" y="0"/>
            <wp:positionH relativeFrom="column">
              <wp:posOffset>2537460</wp:posOffset>
            </wp:positionH>
            <wp:positionV relativeFrom="paragraph">
              <wp:posOffset>95250</wp:posOffset>
            </wp:positionV>
            <wp:extent cx="3400425" cy="2492375"/>
            <wp:effectExtent l="0" t="0" r="9525" b="3175"/>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00425" cy="2492375"/>
                    </a:xfrm>
                    <a:prstGeom prst="rect">
                      <a:avLst/>
                    </a:prstGeom>
                    <a:noFill/>
                  </pic:spPr>
                </pic:pic>
              </a:graphicData>
            </a:graphic>
            <wp14:sizeRelH relativeFrom="page">
              <wp14:pctWidth>0</wp14:pctWidth>
            </wp14:sizeRelH>
            <wp14:sizeRelV relativeFrom="page">
              <wp14:pctHeight>0</wp14:pctHeight>
            </wp14:sizeRelV>
          </wp:anchor>
        </w:drawing>
      </w:r>
    </w:p>
    <w:p w14:paraId="759BC938" w14:textId="77777777" w:rsidR="00110D98" w:rsidRDefault="00110D98" w:rsidP="00110D98">
      <w:pPr>
        <w:tabs>
          <w:tab w:val="left" w:pos="4395"/>
        </w:tabs>
        <w:jc w:val="both"/>
        <w:rPr>
          <w:rFonts w:ascii="Calibri" w:hAnsi="Calibri"/>
          <w:noProof/>
          <w:color w:val="7F7F7F"/>
          <w:sz w:val="18"/>
          <w:szCs w:val="18"/>
        </w:rPr>
      </w:pPr>
    </w:p>
    <w:p w14:paraId="7483541D" w14:textId="77777777" w:rsidR="00110D98" w:rsidRPr="002A74B7" w:rsidRDefault="00110D98" w:rsidP="00110D98">
      <w:pPr>
        <w:tabs>
          <w:tab w:val="left" w:pos="4395"/>
        </w:tabs>
        <w:jc w:val="both"/>
        <w:rPr>
          <w:rFonts w:ascii="Calibri" w:hAnsi="Calibri"/>
          <w:noProof/>
          <w:color w:val="7F7F7F"/>
          <w:sz w:val="18"/>
          <w:szCs w:val="18"/>
        </w:rPr>
      </w:pPr>
      <w:r w:rsidRPr="002A74B7">
        <w:rPr>
          <w:rFonts w:ascii="Calibri" w:hAnsi="Calibri"/>
          <w:noProof/>
          <w:color w:val="7F7F7F"/>
          <w:sz w:val="18"/>
          <w:szCs w:val="18"/>
        </w:rPr>
        <w:t>Overcrowding of dwellings: Suburbs of Greater Dandenong, 2016</w:t>
      </w:r>
    </w:p>
    <w:p w14:paraId="6D3ED697" w14:textId="77777777" w:rsidR="00110D98" w:rsidRDefault="00110D98" w:rsidP="00110D98">
      <w:pPr>
        <w:tabs>
          <w:tab w:val="left" w:pos="4395"/>
        </w:tabs>
        <w:spacing w:line="360" w:lineRule="auto"/>
        <w:jc w:val="both"/>
        <w:rPr>
          <w:rFonts w:ascii="Calibri" w:hAnsi="Calibri"/>
          <w:noProof/>
        </w:rPr>
      </w:pPr>
    </w:p>
    <w:p w14:paraId="1EBB5B04" w14:textId="77777777" w:rsidR="00110D98" w:rsidRPr="00CB4136" w:rsidRDefault="00110D98" w:rsidP="00110D98">
      <w:pPr>
        <w:tabs>
          <w:tab w:val="left" w:pos="4395"/>
        </w:tabs>
        <w:spacing w:line="360" w:lineRule="auto"/>
        <w:jc w:val="both"/>
        <w:rPr>
          <w:rFonts w:ascii="Calibri" w:hAnsi="Calibri"/>
          <w:noProof/>
        </w:rPr>
      </w:pPr>
      <w:r w:rsidRPr="00CB4136">
        <w:rPr>
          <w:rFonts w:ascii="Calibri" w:hAnsi="Calibri"/>
          <w:noProof/>
        </w:rPr>
        <w:t>Among the suburbs of Greater Dandenong overcrowding was most prevalent in Springvale and Dandenong, and least common in Noble Park North and Keysborough.</w:t>
      </w:r>
    </w:p>
    <w:p w14:paraId="149F5B2F" w14:textId="77777777" w:rsidR="00110D98" w:rsidRDefault="00110D98" w:rsidP="00110D98">
      <w:pPr>
        <w:pStyle w:val="IntroParagraphtoeachChapter"/>
        <w:pBdr>
          <w:bottom w:val="none" w:sz="0" w:space="0" w:color="auto"/>
        </w:pBdr>
        <w:spacing w:before="0" w:line="360" w:lineRule="auto"/>
        <w:rPr>
          <w:rFonts w:ascii="Calibri" w:hAnsi="Calibri"/>
          <w:b/>
        </w:rPr>
      </w:pPr>
    </w:p>
    <w:p w14:paraId="4079CC6D" w14:textId="77777777" w:rsidR="00110D98" w:rsidRPr="008751D8" w:rsidRDefault="00110D98" w:rsidP="00110D98">
      <w:pPr>
        <w:pStyle w:val="IntroParagraphtoeachChapter"/>
        <w:pBdr>
          <w:bottom w:val="none" w:sz="0" w:space="0" w:color="auto"/>
        </w:pBdr>
        <w:spacing w:before="0" w:line="360" w:lineRule="auto"/>
        <w:rPr>
          <w:rFonts w:ascii="Calibri" w:hAnsi="Calibri"/>
          <w:color w:val="7F7F7F"/>
          <w:sz w:val="18"/>
          <w:szCs w:val="18"/>
        </w:rPr>
      </w:pPr>
      <w:r w:rsidRPr="00E94DD1">
        <w:rPr>
          <w:rFonts w:ascii="Calibri" w:hAnsi="Calibri"/>
          <w:b/>
        </w:rPr>
        <w:t>Homelessness</w:t>
      </w:r>
    </w:p>
    <w:p w14:paraId="1BA44DD6"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rPr>
        <w:t xml:space="preserve">In 2018, the Australian Bureau of Statistics published estimates of the number of homeless people in each municipality and suburb, calculated from the results of the 2016 Census. Homelessness persons were defined as those sleeping outdoors, residing in homeless accommodation or boarding houses, living with friends temporarily, or enduring severely overcrowded conditions. </w:t>
      </w:r>
    </w:p>
    <w:p w14:paraId="094AD539"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rPr>
        <w:lastRenderedPageBreak/>
        <w:t xml:space="preserve">A total of 1,942 persons in Greater Dandenong were homeless, over three-fifths (61%) of them living in overcrowded circumstances (diagram, below). </w:t>
      </w:r>
    </w:p>
    <w:p w14:paraId="16E2B451"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sidRPr="003F6122">
        <w:rPr>
          <w:rFonts w:ascii="Calibri" w:hAnsi="Calibri"/>
          <w:color w:val="7F7F7F"/>
          <w:sz w:val="18"/>
          <w:szCs w:val="18"/>
        </w:rPr>
        <w:t>Percent of Homeless Persons, by Type of Shelter: Residents of Greater Dandenong, 201</w:t>
      </w:r>
      <w:r>
        <w:rPr>
          <w:rFonts w:ascii="Calibri" w:hAnsi="Calibri"/>
          <w:color w:val="7F7F7F"/>
          <w:sz w:val="18"/>
          <w:szCs w:val="18"/>
        </w:rPr>
        <w:t>6</w:t>
      </w:r>
    </w:p>
    <w:p w14:paraId="122C3B47"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lang w:val="en-AU" w:eastAsia="en-AU"/>
        </w:rPr>
        <w:drawing>
          <wp:inline distT="0" distB="0" distL="0" distR="0" wp14:anchorId="5CB0D5CC" wp14:editId="0706CC48">
            <wp:extent cx="5124450" cy="273702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4150" t="1741" r="-68" b="18409"/>
                    <a:stretch/>
                  </pic:blipFill>
                  <pic:spPr bwMode="auto">
                    <a:xfrm>
                      <a:off x="0" y="0"/>
                      <a:ext cx="5131329" cy="2740694"/>
                    </a:xfrm>
                    <a:prstGeom prst="rect">
                      <a:avLst/>
                    </a:prstGeom>
                    <a:noFill/>
                    <a:ln>
                      <a:noFill/>
                    </a:ln>
                    <a:extLst>
                      <a:ext uri="{53640926-AAD7-44D8-BBD7-CCE9431645EC}">
                        <a14:shadowObscured xmlns:a14="http://schemas.microsoft.com/office/drawing/2010/main"/>
                      </a:ext>
                    </a:extLst>
                  </pic:spPr>
                </pic:pic>
              </a:graphicData>
            </a:graphic>
          </wp:inline>
        </w:drawing>
      </w:r>
    </w:p>
    <w:p w14:paraId="45EAE0F1"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r>
        <w:rPr>
          <w:rFonts w:ascii="Calibri" w:hAnsi="Calibri"/>
        </w:rPr>
        <w:t>Homeless residents accounted for 1.2% of the population of Greater Dandenong – nearly three times the Victorian level of 0.42%. The number and percentage of homeless persons in Greater Dandenong were the highest in Victoria.</w:t>
      </w:r>
    </w:p>
    <w:p w14:paraId="5EC468B2"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2FF16B21"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5BA78B22"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45916F64"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776B3993" w14:textId="77777777" w:rsidR="00110D98" w:rsidRDefault="00110D98" w:rsidP="00110D98">
      <w:pPr>
        <w:pStyle w:val="IntroParagraphtoeachChapter"/>
        <w:pBdr>
          <w:bottom w:val="none" w:sz="0" w:space="0" w:color="auto"/>
        </w:pBdr>
        <w:tabs>
          <w:tab w:val="left" w:pos="6521"/>
        </w:tabs>
        <w:spacing w:before="0" w:line="360" w:lineRule="auto"/>
        <w:jc w:val="left"/>
        <w:rPr>
          <w:rFonts w:ascii="Calibri" w:hAnsi="Calibri"/>
        </w:rPr>
      </w:pPr>
    </w:p>
    <w:p w14:paraId="678CABF8" w14:textId="77777777" w:rsidR="00110D98" w:rsidRPr="000C6E3E" w:rsidRDefault="00110D98" w:rsidP="00110D98">
      <w:pPr>
        <w:pStyle w:val="IntroParagraphtoeachChapter"/>
        <w:pBdr>
          <w:bottom w:val="none" w:sz="0" w:space="0" w:color="auto"/>
        </w:pBdr>
        <w:tabs>
          <w:tab w:val="left" w:pos="6521"/>
        </w:tabs>
        <w:spacing w:before="0" w:line="360" w:lineRule="auto"/>
        <w:jc w:val="left"/>
        <w:rPr>
          <w:rFonts w:ascii="Calibri" w:hAnsi="Calibri"/>
          <w:color w:val="7F7F7F"/>
          <w:sz w:val="18"/>
          <w:szCs w:val="18"/>
        </w:rPr>
      </w:pPr>
      <w:r>
        <w:rPr>
          <w:rFonts w:ascii="Calibri" w:hAnsi="Calibri"/>
          <w:color w:val="7F7F7F"/>
          <w:sz w:val="18"/>
          <w:szCs w:val="18"/>
        </w:rPr>
        <w:t xml:space="preserve">                                                                                            </w:t>
      </w:r>
      <w:r w:rsidRPr="000C6E3E">
        <w:rPr>
          <w:rFonts w:ascii="Calibri" w:hAnsi="Calibri"/>
          <w:color w:val="7F7F7F"/>
          <w:sz w:val="18"/>
          <w:szCs w:val="18"/>
        </w:rPr>
        <w:t>Number of Homeless Persons by Suburb: Greater Dandenong 2016</w:t>
      </w:r>
    </w:p>
    <w:p w14:paraId="1AAE34C5"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noProof/>
          <w:lang w:val="en-AU" w:eastAsia="en-AU"/>
        </w:rPr>
        <w:drawing>
          <wp:anchor distT="0" distB="0" distL="114300" distR="114300" simplePos="0" relativeHeight="251671552" behindDoc="0" locked="0" layoutInCell="1" allowOverlap="1" wp14:anchorId="2AD78780" wp14:editId="29760CD2">
            <wp:simplePos x="0" y="0"/>
            <wp:positionH relativeFrom="column">
              <wp:posOffset>1994535</wp:posOffset>
            </wp:positionH>
            <wp:positionV relativeFrom="line">
              <wp:posOffset>57150</wp:posOffset>
            </wp:positionV>
            <wp:extent cx="3962400" cy="26714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t="8754" r="4469"/>
                    <a:stretch/>
                  </pic:blipFill>
                  <pic:spPr bwMode="auto">
                    <a:xfrm>
                      <a:off x="0" y="0"/>
                      <a:ext cx="3962400" cy="2671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lang w:val="en-AU" w:eastAsia="en-AU"/>
        </w:rPr>
        <w:drawing>
          <wp:anchor distT="0" distB="0" distL="114300" distR="114300" simplePos="0" relativeHeight="251672576" behindDoc="0" locked="0" layoutInCell="1" allowOverlap="1" wp14:anchorId="30D6AD88" wp14:editId="36CBFAB2">
            <wp:simplePos x="0" y="0"/>
            <wp:positionH relativeFrom="column">
              <wp:posOffset>4566285</wp:posOffset>
            </wp:positionH>
            <wp:positionV relativeFrom="paragraph">
              <wp:posOffset>57150</wp:posOffset>
            </wp:positionV>
            <wp:extent cx="1404620" cy="1183640"/>
            <wp:effectExtent l="0" t="0" r="5080" b="0"/>
            <wp:wrapNone/>
            <wp:docPr id="89" name="Picture 88" descr="Homeless 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less family.jpg"/>
                    <pic:cNvPicPr/>
                  </pic:nvPicPr>
                  <pic:blipFill>
                    <a:blip r:embed="rId25" cstate="print"/>
                    <a:srcRect l="13580" r="16872"/>
                    <a:stretch>
                      <a:fillRect/>
                    </a:stretch>
                  </pic:blipFill>
                  <pic:spPr>
                    <a:xfrm>
                      <a:off x="0" y="0"/>
                      <a:ext cx="1404620" cy="11836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rPr>
        <w:t xml:space="preserve">Homeless residents resided largely in Dandenong, Springvale or Noble Park, with few in </w:t>
      </w:r>
      <w:proofErr w:type="spellStart"/>
      <w:r>
        <w:rPr>
          <w:rFonts w:ascii="Calibri" w:hAnsi="Calibri"/>
        </w:rPr>
        <w:t>Keysborough</w:t>
      </w:r>
      <w:proofErr w:type="spellEnd"/>
      <w:r>
        <w:rPr>
          <w:rFonts w:ascii="Calibri" w:hAnsi="Calibri"/>
        </w:rPr>
        <w:t xml:space="preserve">, Noble Park North or Springvale South. </w:t>
      </w:r>
    </w:p>
    <w:p w14:paraId="282B1DB8"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rPr>
        <w:t>At 2.3%, the percentage of residents who were homeless in the suburb of Dandenong was the highest in Victoria and five times the state level.</w:t>
      </w:r>
    </w:p>
    <w:p w14:paraId="191FDF82" w14:textId="5D33C531" w:rsidR="00110D98" w:rsidRDefault="00110D98" w:rsidP="00110D98">
      <w:pPr>
        <w:pStyle w:val="IntroParagraphtoeachChapter"/>
        <w:pBdr>
          <w:bottom w:val="none" w:sz="0" w:space="0" w:color="auto"/>
        </w:pBdr>
        <w:tabs>
          <w:tab w:val="left" w:pos="6521"/>
        </w:tabs>
        <w:spacing w:before="0" w:line="360" w:lineRule="auto"/>
        <w:rPr>
          <w:rFonts w:ascii="Calibri" w:hAnsi="Calibri"/>
        </w:rPr>
      </w:pPr>
    </w:p>
    <w:p w14:paraId="2620DBAB"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bookmarkStart w:id="3" w:name="_GoBack"/>
      <w:bookmarkEnd w:id="3"/>
    </w:p>
    <w:p w14:paraId="76CE3286" w14:textId="77777777" w:rsidR="00110D98" w:rsidRPr="00EB511A" w:rsidRDefault="00110D98" w:rsidP="00110D98">
      <w:pPr>
        <w:pStyle w:val="IntroParagraphtoeachChapter"/>
        <w:pBdr>
          <w:bottom w:val="none" w:sz="0" w:space="0" w:color="auto"/>
        </w:pBdr>
        <w:tabs>
          <w:tab w:val="left" w:pos="6521"/>
        </w:tabs>
        <w:spacing w:before="0" w:line="360" w:lineRule="auto"/>
        <w:rPr>
          <w:rFonts w:ascii="Calibri" w:hAnsi="Calibri"/>
        </w:rPr>
      </w:pPr>
      <w:r>
        <w:rPr>
          <w:rFonts w:ascii="Calibri" w:hAnsi="Calibri"/>
        </w:rPr>
        <w:lastRenderedPageBreak/>
        <w:t>The number of homeless persons enumerated in each Victorian municipality is illustrated below. Municipalities with fewer than 50 homeless persons are omitted from the diagram.</w:t>
      </w:r>
    </w:p>
    <w:p w14:paraId="5F7536A3" w14:textId="77777777" w:rsidR="00110D98" w:rsidRDefault="00110D98" w:rsidP="00110D98">
      <w:pPr>
        <w:pStyle w:val="IntroParagraphtoeachChapter"/>
        <w:pBdr>
          <w:bottom w:val="none" w:sz="0" w:space="0" w:color="auto"/>
        </w:pBdr>
        <w:tabs>
          <w:tab w:val="left" w:pos="6521"/>
        </w:tabs>
        <w:spacing w:before="0" w:line="360" w:lineRule="auto"/>
        <w:jc w:val="center"/>
        <w:rPr>
          <w:rFonts w:ascii="Calibri" w:hAnsi="Calibri"/>
          <w:b/>
        </w:rPr>
      </w:pPr>
      <w:r>
        <w:rPr>
          <w:rFonts w:ascii="Calibri" w:hAnsi="Calibri"/>
          <w:b/>
          <w:noProof/>
          <w:lang w:val="en-AU" w:eastAsia="en-AU"/>
        </w:rPr>
        <w:drawing>
          <wp:inline distT="0" distB="0" distL="0" distR="0" wp14:anchorId="4A5D52A9" wp14:editId="7938E89F">
            <wp:extent cx="5153025" cy="8648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b="34378"/>
                    <a:stretch/>
                  </pic:blipFill>
                  <pic:spPr bwMode="auto">
                    <a:xfrm>
                      <a:off x="0" y="0"/>
                      <a:ext cx="5153828" cy="8650047"/>
                    </a:xfrm>
                    <a:prstGeom prst="rect">
                      <a:avLst/>
                    </a:prstGeom>
                    <a:noFill/>
                    <a:ln>
                      <a:noFill/>
                    </a:ln>
                    <a:extLst>
                      <a:ext uri="{53640926-AAD7-44D8-BBD7-CCE9431645EC}">
                        <a14:shadowObscured xmlns:a14="http://schemas.microsoft.com/office/drawing/2010/main"/>
                      </a:ext>
                    </a:extLst>
                  </pic:spPr>
                </pic:pic>
              </a:graphicData>
            </a:graphic>
          </wp:inline>
        </w:drawing>
      </w:r>
    </w:p>
    <w:p w14:paraId="2EBE0413"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sidRPr="00EB511A">
        <w:rPr>
          <w:rFonts w:ascii="Calibri" w:hAnsi="Calibri"/>
        </w:rPr>
        <w:lastRenderedPageBreak/>
        <w:t xml:space="preserve">The accompanying map illustrates the </w:t>
      </w:r>
      <w:r>
        <w:rPr>
          <w:rFonts w:ascii="Calibri" w:hAnsi="Calibri"/>
        </w:rPr>
        <w:t>proportion</w:t>
      </w:r>
      <w:r w:rsidRPr="00EB511A">
        <w:rPr>
          <w:rFonts w:ascii="Calibri" w:hAnsi="Calibri"/>
        </w:rPr>
        <w:t xml:space="preserve"> of persons who were homeless in 2016, among the SA2 areas of metropolitan Melbourne. </w:t>
      </w:r>
    </w:p>
    <w:p w14:paraId="4AAF2637"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r w:rsidRPr="00EB511A">
        <w:rPr>
          <w:rFonts w:ascii="Calibri" w:hAnsi="Calibri"/>
        </w:rPr>
        <w:t xml:space="preserve">Notably, localities in the western metropolitan areas, north and south-east, such as </w:t>
      </w:r>
      <w:proofErr w:type="spellStart"/>
      <w:r>
        <w:rPr>
          <w:rFonts w:ascii="Calibri" w:hAnsi="Calibri"/>
        </w:rPr>
        <w:t>Ardeer</w:t>
      </w:r>
      <w:proofErr w:type="spellEnd"/>
      <w:r w:rsidRPr="00EB511A">
        <w:rPr>
          <w:rFonts w:ascii="Calibri" w:hAnsi="Calibri"/>
        </w:rPr>
        <w:t>,</w:t>
      </w:r>
      <w:r>
        <w:rPr>
          <w:rFonts w:ascii="Calibri" w:hAnsi="Calibri"/>
        </w:rPr>
        <w:t xml:space="preserve"> </w:t>
      </w:r>
      <w:r w:rsidRPr="00EB511A">
        <w:rPr>
          <w:rFonts w:ascii="Calibri" w:hAnsi="Calibri"/>
        </w:rPr>
        <w:t xml:space="preserve">Dandenong, </w:t>
      </w:r>
      <w:r>
        <w:rPr>
          <w:rFonts w:ascii="Calibri" w:hAnsi="Calibri"/>
        </w:rPr>
        <w:t xml:space="preserve">Fitzroy, Footscray, </w:t>
      </w:r>
      <w:proofErr w:type="spellStart"/>
      <w:r>
        <w:rPr>
          <w:rFonts w:ascii="Calibri" w:hAnsi="Calibri"/>
        </w:rPr>
        <w:t>Hughesdale</w:t>
      </w:r>
      <w:proofErr w:type="spellEnd"/>
      <w:r>
        <w:rPr>
          <w:rFonts w:ascii="Calibri" w:hAnsi="Calibri"/>
        </w:rPr>
        <w:t xml:space="preserve">, Laverton, Melbourne, Noble Park, Springvale, </w:t>
      </w:r>
      <w:r w:rsidRPr="00EB511A">
        <w:rPr>
          <w:rFonts w:ascii="Calibri" w:hAnsi="Calibri"/>
        </w:rPr>
        <w:t xml:space="preserve">St Albans, </w:t>
      </w:r>
      <w:r>
        <w:rPr>
          <w:rFonts w:ascii="Calibri" w:hAnsi="Calibri"/>
        </w:rPr>
        <w:t xml:space="preserve">St Kilda, </w:t>
      </w:r>
      <w:r w:rsidRPr="00EB511A">
        <w:rPr>
          <w:rFonts w:ascii="Calibri" w:hAnsi="Calibri"/>
        </w:rPr>
        <w:t xml:space="preserve">Sunshine featured </w:t>
      </w:r>
      <w:r>
        <w:rPr>
          <w:rFonts w:ascii="Calibri" w:hAnsi="Calibri"/>
        </w:rPr>
        <w:t>a relatively high</w:t>
      </w:r>
      <w:r w:rsidRPr="00EB511A">
        <w:rPr>
          <w:rFonts w:ascii="Calibri" w:hAnsi="Calibri"/>
        </w:rPr>
        <w:t xml:space="preserve"> prevalence of homelessness among their residents.</w:t>
      </w:r>
    </w:p>
    <w:p w14:paraId="3C59F99A"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rPr>
      </w:pPr>
    </w:p>
    <w:p w14:paraId="62C958D1" w14:textId="77777777" w:rsidR="00110D98" w:rsidRPr="00EB511A" w:rsidRDefault="00110D98" w:rsidP="00110D98">
      <w:pPr>
        <w:pStyle w:val="IntroParagraphtoeachChapter"/>
        <w:pBdr>
          <w:bottom w:val="none" w:sz="0" w:space="0" w:color="auto"/>
        </w:pBdr>
        <w:tabs>
          <w:tab w:val="left" w:pos="6521"/>
        </w:tabs>
        <w:spacing w:before="0" w:line="360" w:lineRule="auto"/>
        <w:rPr>
          <w:rFonts w:ascii="Calibri" w:hAnsi="Calibri"/>
        </w:rPr>
      </w:pPr>
    </w:p>
    <w:p w14:paraId="61613BE4" w14:textId="77777777" w:rsidR="00110D98" w:rsidRPr="00EB511A" w:rsidRDefault="00110D98" w:rsidP="00110D98">
      <w:pPr>
        <w:pStyle w:val="IntroParagraphtoeachChapter"/>
        <w:pBdr>
          <w:bottom w:val="none" w:sz="0" w:space="0" w:color="auto"/>
        </w:pBdr>
        <w:tabs>
          <w:tab w:val="left" w:pos="6521"/>
        </w:tabs>
        <w:spacing w:before="0" w:line="360" w:lineRule="auto"/>
        <w:rPr>
          <w:rFonts w:ascii="Calibri" w:hAnsi="Calibri"/>
          <w:color w:val="7F7F7F" w:themeColor="text1" w:themeTint="80"/>
          <w:sz w:val="20"/>
          <w:szCs w:val="20"/>
        </w:rPr>
      </w:pPr>
      <w:r>
        <w:rPr>
          <w:rFonts w:ascii="Calibri" w:hAnsi="Calibri"/>
          <w:color w:val="7F7F7F" w:themeColor="text1" w:themeTint="80"/>
          <w:sz w:val="20"/>
          <w:szCs w:val="20"/>
        </w:rPr>
        <w:t>Homeless Persons per 1,000 Population</w:t>
      </w:r>
      <w:r w:rsidRPr="00EB511A">
        <w:rPr>
          <w:rFonts w:ascii="Calibri" w:hAnsi="Calibri"/>
          <w:color w:val="7F7F7F" w:themeColor="text1" w:themeTint="80"/>
          <w:sz w:val="20"/>
          <w:szCs w:val="20"/>
        </w:rPr>
        <w:t>, by SA2 Area: metropolitan Melbourne, 2016</w:t>
      </w:r>
    </w:p>
    <w:p w14:paraId="6A437E3B" w14:textId="77777777" w:rsidR="00110D98" w:rsidRDefault="00110D98" w:rsidP="00110D98">
      <w:pPr>
        <w:pStyle w:val="IntroParagraphtoeachChapter"/>
        <w:pBdr>
          <w:bottom w:val="none" w:sz="0" w:space="0" w:color="auto"/>
        </w:pBdr>
        <w:tabs>
          <w:tab w:val="left" w:pos="6521"/>
        </w:tabs>
        <w:spacing w:before="0" w:line="360" w:lineRule="auto"/>
        <w:jc w:val="center"/>
        <w:rPr>
          <w:rFonts w:ascii="Calibri" w:hAnsi="Calibri"/>
          <w:b/>
        </w:rPr>
      </w:pPr>
      <w:r>
        <w:rPr>
          <w:rFonts w:ascii="Calibri" w:hAnsi="Calibri"/>
          <w:b/>
          <w:noProof/>
          <w:lang w:val="en-AU" w:eastAsia="en-AU"/>
        </w:rPr>
        <w:drawing>
          <wp:inline distT="0" distB="0" distL="0" distR="0" wp14:anchorId="174103B1" wp14:editId="34374E61">
            <wp:extent cx="5619750" cy="62385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Homeless Suburbs - small map.jpeg"/>
                    <pic:cNvPicPr/>
                  </pic:nvPicPr>
                  <pic:blipFill rotWithShape="1">
                    <a:blip r:embed="rId27" cstate="print">
                      <a:extLst>
                        <a:ext uri="{28A0092B-C50C-407E-A947-70E740481C1C}">
                          <a14:useLocalDpi xmlns:a14="http://schemas.microsoft.com/office/drawing/2010/main" val="0"/>
                        </a:ext>
                      </a:extLst>
                    </a:blip>
                    <a:srcRect l="20870" t="9471" r="15429" b="3084"/>
                    <a:stretch/>
                  </pic:blipFill>
                  <pic:spPr bwMode="auto">
                    <a:xfrm>
                      <a:off x="0" y="0"/>
                      <a:ext cx="5632014" cy="625218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3A4E868F"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b/>
        </w:rPr>
      </w:pPr>
    </w:p>
    <w:p w14:paraId="718CEFB7" w14:textId="77777777" w:rsidR="00110D98" w:rsidRDefault="00110D98" w:rsidP="00110D98">
      <w:pPr>
        <w:pStyle w:val="IntroParagraphtoeachChapter"/>
        <w:pBdr>
          <w:bottom w:val="none" w:sz="0" w:space="0" w:color="auto"/>
        </w:pBdr>
        <w:tabs>
          <w:tab w:val="left" w:pos="6521"/>
        </w:tabs>
        <w:spacing w:before="0" w:line="360" w:lineRule="auto"/>
        <w:rPr>
          <w:rFonts w:ascii="Calibri" w:hAnsi="Calibri"/>
          <w:b/>
          <w:sz w:val="32"/>
          <w:szCs w:val="32"/>
        </w:rPr>
      </w:pPr>
    </w:p>
    <w:p w14:paraId="46D54288" w14:textId="77777777" w:rsidR="00110D98" w:rsidRPr="00EB511A" w:rsidRDefault="00110D98" w:rsidP="00110D98">
      <w:pPr>
        <w:pStyle w:val="IntroParagraphtoeachChapter"/>
        <w:pBdr>
          <w:bottom w:val="none" w:sz="0" w:space="0" w:color="auto"/>
        </w:pBdr>
        <w:tabs>
          <w:tab w:val="left" w:pos="6521"/>
        </w:tabs>
        <w:spacing w:before="0" w:line="360" w:lineRule="auto"/>
        <w:rPr>
          <w:rFonts w:ascii="Calibri" w:hAnsi="Calibri"/>
          <w:b/>
          <w:sz w:val="32"/>
          <w:szCs w:val="32"/>
        </w:rPr>
      </w:pPr>
    </w:p>
    <w:p w14:paraId="7E662967" w14:textId="77777777" w:rsidR="00110D98" w:rsidRPr="009D07ED" w:rsidRDefault="00110D98" w:rsidP="00110D98">
      <w:pPr>
        <w:pStyle w:val="IntroParagraphtoeachChapter"/>
        <w:pBdr>
          <w:bottom w:val="none" w:sz="0" w:space="0" w:color="auto"/>
        </w:pBdr>
        <w:tabs>
          <w:tab w:val="left" w:pos="6521"/>
        </w:tabs>
        <w:spacing w:before="0" w:line="360" w:lineRule="auto"/>
        <w:rPr>
          <w:rFonts w:ascii="Calibri" w:hAnsi="Calibri"/>
          <w:color w:val="7F7F7F"/>
        </w:rPr>
      </w:pPr>
      <w:r>
        <w:rPr>
          <w:rFonts w:ascii="Calibri" w:hAnsi="Calibri"/>
          <w:noProof/>
          <w:lang w:val="en-AU" w:eastAsia="en-AU"/>
        </w:rPr>
        <w:lastRenderedPageBreak/>
        <w:drawing>
          <wp:anchor distT="0" distB="0" distL="114300" distR="114300" simplePos="0" relativeHeight="251668480" behindDoc="0" locked="0" layoutInCell="1" allowOverlap="1" wp14:anchorId="48C6B81A" wp14:editId="0A91A79F">
            <wp:simplePos x="0" y="0"/>
            <wp:positionH relativeFrom="column">
              <wp:posOffset>4415155</wp:posOffset>
            </wp:positionH>
            <wp:positionV relativeFrom="line">
              <wp:posOffset>121920</wp:posOffset>
            </wp:positionV>
            <wp:extent cx="1661795" cy="11074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 Nursing Hom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61795" cy="11074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b/>
        </w:rPr>
        <w:t>Non-Private Accommodation</w:t>
      </w:r>
    </w:p>
    <w:p w14:paraId="304F57FE" w14:textId="77777777" w:rsidR="00110D98" w:rsidRDefault="00110D98" w:rsidP="00110D98">
      <w:pPr>
        <w:pStyle w:val="IntroParagraphtoeachChapter"/>
        <w:pBdr>
          <w:bottom w:val="none" w:sz="0" w:space="0" w:color="auto"/>
        </w:pBdr>
        <w:spacing w:before="0" w:line="360" w:lineRule="auto"/>
        <w:rPr>
          <w:rFonts w:ascii="Calibri" w:hAnsi="Calibri"/>
        </w:rPr>
      </w:pPr>
      <w:r w:rsidRPr="00471265">
        <w:rPr>
          <w:rFonts w:ascii="Calibri" w:hAnsi="Calibri"/>
        </w:rPr>
        <w:t>In 201</w:t>
      </w:r>
      <w:r>
        <w:rPr>
          <w:rFonts w:ascii="Calibri" w:hAnsi="Calibri"/>
        </w:rPr>
        <w:t>6</w:t>
      </w:r>
      <w:r w:rsidRPr="00471265">
        <w:rPr>
          <w:rFonts w:ascii="Calibri" w:hAnsi="Calibri"/>
        </w:rPr>
        <w:t xml:space="preserve">, </w:t>
      </w:r>
      <w:r>
        <w:rPr>
          <w:rFonts w:ascii="Calibri" w:hAnsi="Calibri"/>
        </w:rPr>
        <w:t>3,107</w:t>
      </w:r>
      <w:r w:rsidRPr="00471265">
        <w:rPr>
          <w:rFonts w:ascii="Calibri" w:hAnsi="Calibri"/>
        </w:rPr>
        <w:t xml:space="preserve"> residents of Greater Dandenong resid</w:t>
      </w:r>
      <w:r>
        <w:rPr>
          <w:rFonts w:ascii="Calibri" w:hAnsi="Calibri"/>
        </w:rPr>
        <w:t>ed</w:t>
      </w:r>
      <w:r w:rsidRPr="00471265">
        <w:rPr>
          <w:rFonts w:ascii="Calibri" w:hAnsi="Calibri"/>
        </w:rPr>
        <w:t xml:space="preserve"> in non-private dwellings, 3</w:t>
      </w:r>
      <w:r>
        <w:rPr>
          <w:rFonts w:ascii="Calibri" w:hAnsi="Calibri"/>
        </w:rPr>
        <w:t>5% of them in retirement accommodation</w:t>
      </w:r>
      <w:r w:rsidRPr="00471265">
        <w:rPr>
          <w:rFonts w:ascii="Calibri" w:hAnsi="Calibri"/>
        </w:rPr>
        <w:t>, 2</w:t>
      </w:r>
      <w:r>
        <w:rPr>
          <w:rFonts w:ascii="Calibri" w:hAnsi="Calibri"/>
        </w:rPr>
        <w:t>2</w:t>
      </w:r>
      <w:r w:rsidRPr="00471265">
        <w:rPr>
          <w:rFonts w:ascii="Calibri" w:hAnsi="Calibri"/>
        </w:rPr>
        <w:t xml:space="preserve">% in </w:t>
      </w:r>
      <w:r>
        <w:rPr>
          <w:rFonts w:ascii="Calibri" w:hAnsi="Calibri"/>
        </w:rPr>
        <w:t>nursing homes</w:t>
      </w:r>
      <w:r w:rsidRPr="00471265">
        <w:rPr>
          <w:rFonts w:ascii="Calibri" w:hAnsi="Calibri"/>
        </w:rPr>
        <w:t>, 14% in hospitals, 1</w:t>
      </w:r>
      <w:r>
        <w:rPr>
          <w:rFonts w:ascii="Calibri" w:hAnsi="Calibri"/>
        </w:rPr>
        <w:t>2</w:t>
      </w:r>
      <w:r w:rsidRPr="00471265">
        <w:rPr>
          <w:rFonts w:ascii="Calibri" w:hAnsi="Calibri"/>
        </w:rPr>
        <w:t xml:space="preserve">% in </w:t>
      </w:r>
      <w:r>
        <w:rPr>
          <w:rFonts w:ascii="Calibri" w:hAnsi="Calibri"/>
        </w:rPr>
        <w:t>hotels</w:t>
      </w:r>
      <w:r w:rsidRPr="00471265">
        <w:rPr>
          <w:rFonts w:ascii="Calibri" w:hAnsi="Calibri"/>
        </w:rPr>
        <w:t xml:space="preserve"> or motels</w:t>
      </w:r>
      <w:r>
        <w:rPr>
          <w:rFonts w:ascii="Calibri" w:hAnsi="Calibri"/>
        </w:rPr>
        <w:t>, 12</w:t>
      </w:r>
      <w:r w:rsidRPr="00471265">
        <w:rPr>
          <w:rFonts w:ascii="Calibri" w:hAnsi="Calibri"/>
        </w:rPr>
        <w:t xml:space="preserve">% </w:t>
      </w:r>
      <w:r>
        <w:rPr>
          <w:rFonts w:ascii="Calibri" w:hAnsi="Calibri"/>
        </w:rPr>
        <w:t>hospitals</w:t>
      </w:r>
      <w:r w:rsidRPr="00471265">
        <w:rPr>
          <w:rFonts w:ascii="Calibri" w:hAnsi="Calibri"/>
        </w:rPr>
        <w:t xml:space="preserve"> and </w:t>
      </w:r>
      <w:r>
        <w:rPr>
          <w:rFonts w:ascii="Calibri" w:hAnsi="Calibri"/>
        </w:rPr>
        <w:t>8</w:t>
      </w:r>
      <w:r w:rsidRPr="00471265">
        <w:rPr>
          <w:rFonts w:ascii="Calibri" w:hAnsi="Calibri"/>
        </w:rPr>
        <w:t xml:space="preserve">% in </w:t>
      </w:r>
      <w:r>
        <w:rPr>
          <w:rFonts w:ascii="Calibri" w:hAnsi="Calibri"/>
        </w:rPr>
        <w:t>boarding houses</w:t>
      </w:r>
      <w:r w:rsidRPr="00471265">
        <w:rPr>
          <w:rFonts w:ascii="Calibri" w:hAnsi="Calibri"/>
        </w:rPr>
        <w:t>.</w:t>
      </w:r>
      <w:r>
        <w:rPr>
          <w:rFonts w:ascii="Calibri" w:hAnsi="Calibri"/>
        </w:rPr>
        <w:t xml:space="preserve"> (diagram below)</w:t>
      </w:r>
    </w:p>
    <w:p w14:paraId="6EEF839D" w14:textId="77777777" w:rsidR="00110D98" w:rsidRDefault="00110D98" w:rsidP="00110D98">
      <w:pPr>
        <w:pStyle w:val="IntroParagraphtoeachChapter"/>
        <w:pBdr>
          <w:bottom w:val="none" w:sz="0" w:space="0" w:color="auto"/>
        </w:pBdr>
        <w:spacing w:before="0" w:line="360" w:lineRule="auto"/>
        <w:rPr>
          <w:rFonts w:ascii="Calibri" w:hAnsi="Calibri"/>
        </w:rPr>
      </w:pPr>
    </w:p>
    <w:p w14:paraId="7598FDCA" w14:textId="77777777" w:rsidR="00110D98" w:rsidRDefault="00110D98" w:rsidP="00110D98">
      <w:pPr>
        <w:pStyle w:val="IntroParagraphtoeachChapter"/>
        <w:pBdr>
          <w:bottom w:val="none" w:sz="0" w:space="0" w:color="auto"/>
        </w:pBdr>
        <w:spacing w:before="0" w:line="360" w:lineRule="auto"/>
        <w:rPr>
          <w:rFonts w:ascii="Calibri" w:hAnsi="Calibri"/>
        </w:rPr>
      </w:pPr>
    </w:p>
    <w:p w14:paraId="094D33FC" w14:textId="77777777" w:rsidR="00110D98" w:rsidRDefault="00110D98" w:rsidP="00110D98">
      <w:pPr>
        <w:pStyle w:val="IntroParagraphtoeachChapter"/>
        <w:pBdr>
          <w:bottom w:val="none" w:sz="0" w:space="0" w:color="auto"/>
        </w:pBdr>
        <w:spacing w:before="0" w:line="360" w:lineRule="auto"/>
        <w:rPr>
          <w:rFonts w:ascii="Calibri" w:hAnsi="Calibri"/>
          <w:color w:val="7F7F7F"/>
          <w:sz w:val="18"/>
          <w:szCs w:val="18"/>
        </w:rPr>
      </w:pPr>
      <w:r>
        <w:rPr>
          <w:rFonts w:ascii="Calibri" w:hAnsi="Calibri"/>
        </w:rPr>
        <w:t xml:space="preserve">                                                     </w:t>
      </w:r>
      <w:r w:rsidRPr="00AB3267">
        <w:rPr>
          <w:rFonts w:ascii="Calibri" w:hAnsi="Calibri"/>
          <w:color w:val="7F7F7F"/>
          <w:sz w:val="18"/>
          <w:szCs w:val="18"/>
        </w:rPr>
        <w:t>Number of Persons by</w:t>
      </w:r>
      <w:r>
        <w:rPr>
          <w:rFonts w:ascii="Calibri" w:hAnsi="Calibri"/>
        </w:rPr>
        <w:t xml:space="preserve"> </w:t>
      </w:r>
      <w:r w:rsidRPr="00190B5D">
        <w:rPr>
          <w:rFonts w:ascii="Calibri" w:hAnsi="Calibri"/>
          <w:color w:val="7F7F7F"/>
          <w:sz w:val="18"/>
          <w:szCs w:val="18"/>
        </w:rPr>
        <w:t>Type of Non-private Accommodation: Greater Dandenong, 20</w:t>
      </w:r>
      <w:r>
        <w:rPr>
          <w:rFonts w:ascii="Calibri" w:hAnsi="Calibri"/>
          <w:color w:val="7F7F7F"/>
          <w:sz w:val="18"/>
          <w:szCs w:val="18"/>
        </w:rPr>
        <w:t>16</w:t>
      </w:r>
    </w:p>
    <w:p w14:paraId="71CFF8ED" w14:textId="77777777" w:rsidR="00110D98" w:rsidRPr="008511A2" w:rsidRDefault="00110D98" w:rsidP="00110D98">
      <w:pPr>
        <w:pStyle w:val="IntroParagraphtoeachChapter"/>
        <w:pBdr>
          <w:bottom w:val="none" w:sz="0" w:space="0" w:color="auto"/>
        </w:pBdr>
        <w:spacing w:before="0"/>
        <w:ind w:left="2410"/>
        <w:rPr>
          <w:rFonts w:ascii="Calibri" w:hAnsi="Calibri"/>
          <w:b/>
        </w:rPr>
      </w:pPr>
      <w:r>
        <w:rPr>
          <w:rFonts w:ascii="Calibri" w:hAnsi="Calibri"/>
          <w:noProof/>
          <w:color w:val="7F7F7F"/>
          <w:lang w:val="en-AU" w:eastAsia="en-AU"/>
        </w:rPr>
        <w:drawing>
          <wp:anchor distT="0" distB="0" distL="114300" distR="114300" simplePos="0" relativeHeight="251661312" behindDoc="0" locked="0" layoutInCell="1" allowOverlap="1" wp14:anchorId="10D84100" wp14:editId="5342665B">
            <wp:simplePos x="0" y="0"/>
            <wp:positionH relativeFrom="column">
              <wp:posOffset>318135</wp:posOffset>
            </wp:positionH>
            <wp:positionV relativeFrom="paragraph">
              <wp:posOffset>26035</wp:posOffset>
            </wp:positionV>
            <wp:extent cx="5445760" cy="3168650"/>
            <wp:effectExtent l="0" t="0" r="254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a:extLst>
                        <a:ext uri="{28A0092B-C50C-407E-A947-70E740481C1C}">
                          <a14:useLocalDpi xmlns:a14="http://schemas.microsoft.com/office/drawing/2010/main" val="0"/>
                        </a:ext>
                      </a:extLst>
                    </a:blip>
                    <a:srcRect b="34720"/>
                    <a:stretch>
                      <a:fillRect/>
                    </a:stretch>
                  </pic:blipFill>
                  <pic:spPr bwMode="auto">
                    <a:xfrm>
                      <a:off x="0" y="0"/>
                      <a:ext cx="5445760" cy="3168650"/>
                    </a:xfrm>
                    <a:prstGeom prst="rect">
                      <a:avLst/>
                    </a:prstGeom>
                    <a:noFill/>
                  </pic:spPr>
                </pic:pic>
              </a:graphicData>
            </a:graphic>
            <wp14:sizeRelH relativeFrom="page">
              <wp14:pctWidth>0</wp14:pctWidth>
            </wp14:sizeRelH>
            <wp14:sizeRelV relativeFrom="page">
              <wp14:pctHeight>0</wp14:pctHeight>
            </wp14:sizeRelV>
          </wp:anchor>
        </w:drawing>
      </w:r>
    </w:p>
    <w:p w14:paraId="528D86A5"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1A734D2C"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546453AB"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27EABA4A"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72F96353"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64645B11"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79067503"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07C3EC21"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0246612B" w14:textId="77777777" w:rsidR="00110D98" w:rsidRDefault="00110D98" w:rsidP="00110D98">
      <w:pPr>
        <w:pStyle w:val="IntroParagraphtoeachChapter"/>
        <w:pBdr>
          <w:bottom w:val="none" w:sz="0" w:space="0" w:color="auto"/>
        </w:pBdr>
        <w:spacing w:before="120" w:line="360" w:lineRule="auto"/>
        <w:rPr>
          <w:rFonts w:ascii="Calibri" w:hAnsi="Calibri"/>
          <w:color w:val="7F7F7F"/>
        </w:rPr>
      </w:pPr>
    </w:p>
    <w:p w14:paraId="610A646B" w14:textId="77777777" w:rsidR="00110D98" w:rsidRDefault="00110D98" w:rsidP="00110D98">
      <w:pPr>
        <w:rPr>
          <w:rFonts w:ascii="Calibri" w:eastAsia="Times New Roman" w:hAnsi="Calibri"/>
          <w:color w:val="7F7F7F"/>
          <w:lang w:val="en-US"/>
        </w:rPr>
      </w:pPr>
    </w:p>
    <w:p w14:paraId="77A7D794" w14:textId="77777777" w:rsidR="00E14A50" w:rsidRPr="00110D98" w:rsidRDefault="00E14A50" w:rsidP="00110D98"/>
    <w:sectPr w:rsidR="00E14A50" w:rsidRPr="00110D98" w:rsidSect="00BD67EB">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A7906" w14:textId="77777777" w:rsidR="00836771" w:rsidRDefault="00836771" w:rsidP="00D03AA8">
      <w:r>
        <w:separator/>
      </w:r>
    </w:p>
  </w:endnote>
  <w:endnote w:type="continuationSeparator" w:id="0">
    <w:p w14:paraId="15393460" w14:textId="77777777" w:rsidR="00836771" w:rsidRDefault="00836771" w:rsidP="00D0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45D2E" w14:textId="77777777" w:rsidR="00836771" w:rsidRDefault="00836771" w:rsidP="00D03AA8">
      <w:r>
        <w:separator/>
      </w:r>
    </w:p>
  </w:footnote>
  <w:footnote w:type="continuationSeparator" w:id="0">
    <w:p w14:paraId="647F858A" w14:textId="77777777" w:rsidR="00836771" w:rsidRDefault="00836771" w:rsidP="00D03AA8">
      <w:r>
        <w:continuationSeparator/>
      </w:r>
    </w:p>
  </w:footnote>
  <w:footnote w:id="1">
    <w:p w14:paraId="355D843B" w14:textId="77777777" w:rsidR="00110D98" w:rsidRPr="00AB3267" w:rsidRDefault="00110D98" w:rsidP="00110D98">
      <w:pPr>
        <w:pStyle w:val="FootnoteText"/>
        <w:spacing w:after="0" w:line="240" w:lineRule="auto"/>
        <w:rPr>
          <w:lang w:val="en-AU"/>
        </w:rPr>
      </w:pPr>
      <w:r>
        <w:rPr>
          <w:rStyle w:val="FootnoteReference"/>
        </w:rPr>
        <w:footnoteRef/>
      </w:r>
      <w:r>
        <w:t xml:space="preserve"> </w:t>
      </w:r>
      <w:r w:rsidRPr="00AB3267">
        <w:rPr>
          <w:noProof/>
          <w:sz w:val="16"/>
          <w:szCs w:val="16"/>
        </w:rPr>
        <w:t xml:space="preserve">For technical reasons, overcrowding was defined for the purpose of creating this map, as dwellings with zero or one bedrooms and three or more occupants, two-bedroom dwellings with five or more occupants or three bedroom dwellings with six or more occupants.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C733E"/>
    <w:multiLevelType w:val="hybridMultilevel"/>
    <w:tmpl w:val="ABD6D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5A6427D"/>
    <w:multiLevelType w:val="hybridMultilevel"/>
    <w:tmpl w:val="0D469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A4042AD"/>
    <w:multiLevelType w:val="hybridMultilevel"/>
    <w:tmpl w:val="FF68EBB8"/>
    <w:lvl w:ilvl="0" w:tplc="BA3C0BC6">
      <w:start w:val="15"/>
      <w:numFmt w:val="bullet"/>
      <w:lvlText w:val="-"/>
      <w:lvlJc w:val="left"/>
      <w:pPr>
        <w:ind w:left="720" w:hanging="360"/>
      </w:pPr>
      <w:rPr>
        <w:rFonts w:ascii="Palatino Linotype" w:eastAsia="Times New Roman" w:hAnsi="Palatino Linotype"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CD12333"/>
    <w:multiLevelType w:val="hybridMultilevel"/>
    <w:tmpl w:val="20246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66D77AB"/>
    <w:multiLevelType w:val="hybridMultilevel"/>
    <w:tmpl w:val="6832C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D1"/>
    <w:rsid w:val="00000D0B"/>
    <w:rsid w:val="0002715E"/>
    <w:rsid w:val="000526CD"/>
    <w:rsid w:val="000627A2"/>
    <w:rsid w:val="00071A21"/>
    <w:rsid w:val="00071BA2"/>
    <w:rsid w:val="00087654"/>
    <w:rsid w:val="0009495D"/>
    <w:rsid w:val="00097A9B"/>
    <w:rsid w:val="000A1C64"/>
    <w:rsid w:val="000B0CAB"/>
    <w:rsid w:val="000B42A2"/>
    <w:rsid w:val="000B43E2"/>
    <w:rsid w:val="000B75B6"/>
    <w:rsid w:val="000C6E3E"/>
    <w:rsid w:val="000D43A1"/>
    <w:rsid w:val="000D511F"/>
    <w:rsid w:val="000F073D"/>
    <w:rsid w:val="0010483E"/>
    <w:rsid w:val="0011067B"/>
    <w:rsid w:val="00110D98"/>
    <w:rsid w:val="00113480"/>
    <w:rsid w:val="00115611"/>
    <w:rsid w:val="001378B5"/>
    <w:rsid w:val="001431DB"/>
    <w:rsid w:val="00174006"/>
    <w:rsid w:val="0018170B"/>
    <w:rsid w:val="00184D9D"/>
    <w:rsid w:val="00186629"/>
    <w:rsid w:val="00190B5D"/>
    <w:rsid w:val="001A18DD"/>
    <w:rsid w:val="001A2A70"/>
    <w:rsid w:val="001A3503"/>
    <w:rsid w:val="001A7D8B"/>
    <w:rsid w:val="001B28D8"/>
    <w:rsid w:val="001B4C01"/>
    <w:rsid w:val="001B6677"/>
    <w:rsid w:val="001D1767"/>
    <w:rsid w:val="001D1FBA"/>
    <w:rsid w:val="001D5748"/>
    <w:rsid w:val="001D69A0"/>
    <w:rsid w:val="001F06F9"/>
    <w:rsid w:val="00241C5C"/>
    <w:rsid w:val="00245785"/>
    <w:rsid w:val="00246B55"/>
    <w:rsid w:val="0026470E"/>
    <w:rsid w:val="00276D23"/>
    <w:rsid w:val="0028156A"/>
    <w:rsid w:val="002966AA"/>
    <w:rsid w:val="002A74B7"/>
    <w:rsid w:val="002A7D72"/>
    <w:rsid w:val="002D201B"/>
    <w:rsid w:val="002D216D"/>
    <w:rsid w:val="00317CB3"/>
    <w:rsid w:val="00331ED6"/>
    <w:rsid w:val="003361C7"/>
    <w:rsid w:val="00345BEF"/>
    <w:rsid w:val="003562F6"/>
    <w:rsid w:val="00364ADB"/>
    <w:rsid w:val="00375BF6"/>
    <w:rsid w:val="0037638C"/>
    <w:rsid w:val="0038078A"/>
    <w:rsid w:val="003F6122"/>
    <w:rsid w:val="00427FFE"/>
    <w:rsid w:val="0043051E"/>
    <w:rsid w:val="00434A10"/>
    <w:rsid w:val="00445E4A"/>
    <w:rsid w:val="00471265"/>
    <w:rsid w:val="00481BDA"/>
    <w:rsid w:val="00484CF7"/>
    <w:rsid w:val="00496CA9"/>
    <w:rsid w:val="004A2CF0"/>
    <w:rsid w:val="004C7270"/>
    <w:rsid w:val="004D32BD"/>
    <w:rsid w:val="004D4628"/>
    <w:rsid w:val="004E022E"/>
    <w:rsid w:val="004F0B45"/>
    <w:rsid w:val="004F3E16"/>
    <w:rsid w:val="00516079"/>
    <w:rsid w:val="00526B41"/>
    <w:rsid w:val="00531899"/>
    <w:rsid w:val="00537948"/>
    <w:rsid w:val="0054671D"/>
    <w:rsid w:val="005513BF"/>
    <w:rsid w:val="00570EC0"/>
    <w:rsid w:val="0057466F"/>
    <w:rsid w:val="00583F43"/>
    <w:rsid w:val="005903EF"/>
    <w:rsid w:val="0059555F"/>
    <w:rsid w:val="00596FAC"/>
    <w:rsid w:val="005B490B"/>
    <w:rsid w:val="005D7283"/>
    <w:rsid w:val="005E0227"/>
    <w:rsid w:val="005E35A7"/>
    <w:rsid w:val="005E681E"/>
    <w:rsid w:val="005F721B"/>
    <w:rsid w:val="006278D1"/>
    <w:rsid w:val="006350F8"/>
    <w:rsid w:val="00643B39"/>
    <w:rsid w:val="00670DEC"/>
    <w:rsid w:val="00675A3D"/>
    <w:rsid w:val="0067627C"/>
    <w:rsid w:val="00692D01"/>
    <w:rsid w:val="006A4951"/>
    <w:rsid w:val="006A5250"/>
    <w:rsid w:val="006A7041"/>
    <w:rsid w:val="006D15AF"/>
    <w:rsid w:val="006D6340"/>
    <w:rsid w:val="006E022D"/>
    <w:rsid w:val="006E3787"/>
    <w:rsid w:val="006F182E"/>
    <w:rsid w:val="006F73B9"/>
    <w:rsid w:val="007214C9"/>
    <w:rsid w:val="0076374D"/>
    <w:rsid w:val="00775921"/>
    <w:rsid w:val="00790A55"/>
    <w:rsid w:val="0079795E"/>
    <w:rsid w:val="007A2FD1"/>
    <w:rsid w:val="007B2FB9"/>
    <w:rsid w:val="007B4362"/>
    <w:rsid w:val="007B443E"/>
    <w:rsid w:val="007C42CF"/>
    <w:rsid w:val="007D5124"/>
    <w:rsid w:val="007D6EC4"/>
    <w:rsid w:val="007E1E19"/>
    <w:rsid w:val="008056D6"/>
    <w:rsid w:val="00806CFE"/>
    <w:rsid w:val="00812E07"/>
    <w:rsid w:val="008272EE"/>
    <w:rsid w:val="00836771"/>
    <w:rsid w:val="008425D6"/>
    <w:rsid w:val="008511A2"/>
    <w:rsid w:val="00865FEA"/>
    <w:rsid w:val="00867089"/>
    <w:rsid w:val="008677C9"/>
    <w:rsid w:val="008751D8"/>
    <w:rsid w:val="008826E5"/>
    <w:rsid w:val="008948CF"/>
    <w:rsid w:val="00894BEE"/>
    <w:rsid w:val="00896937"/>
    <w:rsid w:val="008B6C50"/>
    <w:rsid w:val="008C0006"/>
    <w:rsid w:val="008C3D37"/>
    <w:rsid w:val="008C519E"/>
    <w:rsid w:val="008C5ED9"/>
    <w:rsid w:val="008E3AC2"/>
    <w:rsid w:val="00906C0C"/>
    <w:rsid w:val="009113F8"/>
    <w:rsid w:val="00915937"/>
    <w:rsid w:val="00917BA7"/>
    <w:rsid w:val="009329DF"/>
    <w:rsid w:val="00941D2F"/>
    <w:rsid w:val="00966527"/>
    <w:rsid w:val="00966BDC"/>
    <w:rsid w:val="0096701B"/>
    <w:rsid w:val="00972E0A"/>
    <w:rsid w:val="00973FF2"/>
    <w:rsid w:val="009879A2"/>
    <w:rsid w:val="00992694"/>
    <w:rsid w:val="00995EB8"/>
    <w:rsid w:val="00996662"/>
    <w:rsid w:val="009C1147"/>
    <w:rsid w:val="009C570C"/>
    <w:rsid w:val="009D07ED"/>
    <w:rsid w:val="009E503F"/>
    <w:rsid w:val="009F3F2C"/>
    <w:rsid w:val="00A02BAD"/>
    <w:rsid w:val="00A06FAF"/>
    <w:rsid w:val="00A14B83"/>
    <w:rsid w:val="00A15961"/>
    <w:rsid w:val="00A25BB9"/>
    <w:rsid w:val="00A37FF1"/>
    <w:rsid w:val="00A53B73"/>
    <w:rsid w:val="00A552DA"/>
    <w:rsid w:val="00A60345"/>
    <w:rsid w:val="00A67E31"/>
    <w:rsid w:val="00A729D8"/>
    <w:rsid w:val="00A83689"/>
    <w:rsid w:val="00A857C5"/>
    <w:rsid w:val="00A86225"/>
    <w:rsid w:val="00A9080D"/>
    <w:rsid w:val="00A96A5A"/>
    <w:rsid w:val="00AB3267"/>
    <w:rsid w:val="00AB5470"/>
    <w:rsid w:val="00AC4A7D"/>
    <w:rsid w:val="00AD468F"/>
    <w:rsid w:val="00AE189C"/>
    <w:rsid w:val="00AF1D84"/>
    <w:rsid w:val="00AF23A6"/>
    <w:rsid w:val="00B21BC7"/>
    <w:rsid w:val="00B40325"/>
    <w:rsid w:val="00B81419"/>
    <w:rsid w:val="00B94E1F"/>
    <w:rsid w:val="00BB3ABB"/>
    <w:rsid w:val="00BC5041"/>
    <w:rsid w:val="00BD6315"/>
    <w:rsid w:val="00BD67EB"/>
    <w:rsid w:val="00BE1DDB"/>
    <w:rsid w:val="00BE480E"/>
    <w:rsid w:val="00BE4AFA"/>
    <w:rsid w:val="00BF3B29"/>
    <w:rsid w:val="00BF3C25"/>
    <w:rsid w:val="00C029A8"/>
    <w:rsid w:val="00C351D1"/>
    <w:rsid w:val="00C46F13"/>
    <w:rsid w:val="00C47040"/>
    <w:rsid w:val="00C61D61"/>
    <w:rsid w:val="00C63BC3"/>
    <w:rsid w:val="00C64361"/>
    <w:rsid w:val="00C712CD"/>
    <w:rsid w:val="00C9341E"/>
    <w:rsid w:val="00C95A44"/>
    <w:rsid w:val="00CA01BE"/>
    <w:rsid w:val="00CA5883"/>
    <w:rsid w:val="00CB4136"/>
    <w:rsid w:val="00CB41E1"/>
    <w:rsid w:val="00CD23A9"/>
    <w:rsid w:val="00CE412A"/>
    <w:rsid w:val="00CF4DE1"/>
    <w:rsid w:val="00CF7A1A"/>
    <w:rsid w:val="00D03AA8"/>
    <w:rsid w:val="00D173CA"/>
    <w:rsid w:val="00D20B88"/>
    <w:rsid w:val="00D30416"/>
    <w:rsid w:val="00D30F8A"/>
    <w:rsid w:val="00D347A9"/>
    <w:rsid w:val="00D44A66"/>
    <w:rsid w:val="00D5588A"/>
    <w:rsid w:val="00D602D5"/>
    <w:rsid w:val="00D748A2"/>
    <w:rsid w:val="00D87191"/>
    <w:rsid w:val="00D87A57"/>
    <w:rsid w:val="00D95009"/>
    <w:rsid w:val="00DA70A1"/>
    <w:rsid w:val="00DB3533"/>
    <w:rsid w:val="00DD6DDD"/>
    <w:rsid w:val="00DE60B0"/>
    <w:rsid w:val="00DF07B4"/>
    <w:rsid w:val="00DF4C92"/>
    <w:rsid w:val="00DF74E4"/>
    <w:rsid w:val="00E1139A"/>
    <w:rsid w:val="00E13BAF"/>
    <w:rsid w:val="00E14A50"/>
    <w:rsid w:val="00E23432"/>
    <w:rsid w:val="00E26BB6"/>
    <w:rsid w:val="00E334BD"/>
    <w:rsid w:val="00E33D44"/>
    <w:rsid w:val="00E42183"/>
    <w:rsid w:val="00E43577"/>
    <w:rsid w:val="00E55776"/>
    <w:rsid w:val="00E673AC"/>
    <w:rsid w:val="00E75A62"/>
    <w:rsid w:val="00E861F5"/>
    <w:rsid w:val="00E9318A"/>
    <w:rsid w:val="00E94DD1"/>
    <w:rsid w:val="00EA12D7"/>
    <w:rsid w:val="00EB511A"/>
    <w:rsid w:val="00EC2D24"/>
    <w:rsid w:val="00ED1ADB"/>
    <w:rsid w:val="00ED38D6"/>
    <w:rsid w:val="00EE53A4"/>
    <w:rsid w:val="00EF5F60"/>
    <w:rsid w:val="00F0347B"/>
    <w:rsid w:val="00F07FA0"/>
    <w:rsid w:val="00F27AEC"/>
    <w:rsid w:val="00F30C72"/>
    <w:rsid w:val="00F54FDB"/>
    <w:rsid w:val="00F56A24"/>
    <w:rsid w:val="00F807ED"/>
    <w:rsid w:val="00F91CE3"/>
    <w:rsid w:val="00F946E0"/>
    <w:rsid w:val="00F97C4B"/>
    <w:rsid w:val="00FA5FF9"/>
    <w:rsid w:val="00FB6785"/>
    <w:rsid w:val="00FC1E78"/>
    <w:rsid w:val="00FD7653"/>
    <w:rsid w:val="00FE7F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22E27DA8"/>
  <w15:docId w15:val="{C078A30F-9D7D-4BBA-AD13-E857F76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5FF9"/>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ParagraphtoeachChapter">
    <w:name w:val="Intro Paragraph to each Chapter"/>
    <w:link w:val="IntroParagraphtoeachChapterChar"/>
    <w:qFormat/>
    <w:rsid w:val="007A2FD1"/>
    <w:pPr>
      <w:pBdr>
        <w:bottom w:val="single" w:sz="4" w:space="1" w:color="auto"/>
      </w:pBdr>
      <w:spacing w:before="60"/>
      <w:jc w:val="both"/>
    </w:pPr>
    <w:rPr>
      <w:rFonts w:ascii="Palatino Linotype" w:eastAsia="Times New Roman" w:hAnsi="Palatino Linotype"/>
      <w:sz w:val="22"/>
      <w:szCs w:val="22"/>
      <w:lang w:val="en-US" w:eastAsia="en-US"/>
    </w:rPr>
  </w:style>
  <w:style w:type="character" w:customStyle="1" w:styleId="IntroParagraphtoeachChapterChar">
    <w:name w:val="Intro Paragraph to each Chapter Char"/>
    <w:link w:val="IntroParagraphtoeachChapter"/>
    <w:rsid w:val="007A2FD1"/>
    <w:rPr>
      <w:rFonts w:ascii="Palatino Linotype" w:eastAsia="Times New Roman" w:hAnsi="Palatino Linotype"/>
      <w:sz w:val="22"/>
      <w:szCs w:val="22"/>
      <w:lang w:val="en-US" w:eastAsia="en-US" w:bidi="ar-SA"/>
    </w:rPr>
  </w:style>
  <w:style w:type="paragraph" w:styleId="BalloonText">
    <w:name w:val="Balloon Text"/>
    <w:basedOn w:val="Normal"/>
    <w:link w:val="BalloonTextChar"/>
    <w:uiPriority w:val="99"/>
    <w:semiHidden/>
    <w:unhideWhenUsed/>
    <w:rsid w:val="007A2FD1"/>
    <w:rPr>
      <w:rFonts w:ascii="Tahoma" w:hAnsi="Tahoma" w:cs="Tahoma"/>
      <w:sz w:val="16"/>
      <w:szCs w:val="16"/>
    </w:rPr>
  </w:style>
  <w:style w:type="character" w:customStyle="1" w:styleId="BalloonTextChar">
    <w:name w:val="Balloon Text Char"/>
    <w:link w:val="BalloonText"/>
    <w:uiPriority w:val="99"/>
    <w:semiHidden/>
    <w:rsid w:val="007A2FD1"/>
    <w:rPr>
      <w:rFonts w:ascii="Tahoma" w:hAnsi="Tahoma" w:cs="Tahoma"/>
      <w:sz w:val="16"/>
      <w:szCs w:val="16"/>
    </w:rPr>
  </w:style>
  <w:style w:type="paragraph" w:customStyle="1" w:styleId="Figureheadings">
    <w:name w:val="Figure headings"/>
    <w:basedOn w:val="Normal"/>
    <w:link w:val="FigureheadingsChar"/>
    <w:qFormat/>
    <w:rsid w:val="007A2FD1"/>
    <w:rPr>
      <w:rFonts w:ascii="Arial Narrow" w:eastAsia="Times New Roman" w:hAnsi="Arial Narrow"/>
      <w:i/>
      <w:iCs/>
      <w:sz w:val="20"/>
      <w:szCs w:val="24"/>
      <w:lang w:val="en-US"/>
    </w:rPr>
  </w:style>
  <w:style w:type="character" w:customStyle="1" w:styleId="FigureheadingsChar">
    <w:name w:val="Figure headings Char"/>
    <w:link w:val="Figureheadings"/>
    <w:rsid w:val="007A2FD1"/>
    <w:rPr>
      <w:rFonts w:ascii="Arial Narrow" w:eastAsia="Times New Roman" w:hAnsi="Arial Narrow" w:cs="Times New Roman"/>
      <w:i/>
      <w:iCs/>
      <w:sz w:val="20"/>
      <w:szCs w:val="24"/>
      <w:lang w:val="en-US"/>
    </w:rPr>
  </w:style>
  <w:style w:type="character" w:styleId="FootnoteReference">
    <w:name w:val="footnote reference"/>
    <w:semiHidden/>
    <w:rsid w:val="00D03AA8"/>
    <w:rPr>
      <w:vertAlign w:val="superscript"/>
    </w:rPr>
  </w:style>
  <w:style w:type="paragraph" w:styleId="FootnoteText">
    <w:name w:val="footnote text"/>
    <w:basedOn w:val="Normal"/>
    <w:link w:val="FootnoteTextChar"/>
    <w:semiHidden/>
    <w:unhideWhenUsed/>
    <w:rsid w:val="00D03AA8"/>
    <w:pPr>
      <w:spacing w:after="200" w:line="276" w:lineRule="auto"/>
    </w:pPr>
    <w:rPr>
      <w:rFonts w:ascii="Calibri" w:hAnsi="Calibri"/>
      <w:sz w:val="20"/>
      <w:szCs w:val="20"/>
      <w:lang w:val="en-US"/>
    </w:rPr>
  </w:style>
  <w:style w:type="character" w:customStyle="1" w:styleId="FootnoteTextChar">
    <w:name w:val="Footnote Text Char"/>
    <w:link w:val="FootnoteText"/>
    <w:semiHidden/>
    <w:rsid w:val="00D03AA8"/>
    <w:rPr>
      <w:rFonts w:ascii="Calibri" w:hAnsi="Calibri"/>
      <w:lang w:val="en-US" w:eastAsia="en-US"/>
    </w:rPr>
  </w:style>
  <w:style w:type="paragraph" w:styleId="ListParagraph">
    <w:name w:val="List Paragraph"/>
    <w:basedOn w:val="Normal"/>
    <w:uiPriority w:val="34"/>
    <w:qFormat/>
    <w:rsid w:val="00894BEE"/>
    <w:pPr>
      <w:ind w:left="720"/>
      <w:contextualSpacing/>
    </w:pPr>
  </w:style>
  <w:style w:type="paragraph" w:styleId="Header">
    <w:name w:val="header"/>
    <w:basedOn w:val="Normal"/>
    <w:link w:val="HeaderChar"/>
    <w:uiPriority w:val="99"/>
    <w:unhideWhenUsed/>
    <w:rsid w:val="00CB41E1"/>
    <w:pPr>
      <w:tabs>
        <w:tab w:val="center" w:pos="4513"/>
        <w:tab w:val="right" w:pos="9026"/>
      </w:tabs>
    </w:pPr>
  </w:style>
  <w:style w:type="character" w:customStyle="1" w:styleId="HeaderChar">
    <w:name w:val="Header Char"/>
    <w:link w:val="Header"/>
    <w:uiPriority w:val="99"/>
    <w:rsid w:val="00CB41E1"/>
    <w:rPr>
      <w:sz w:val="22"/>
      <w:szCs w:val="22"/>
      <w:lang w:eastAsia="en-US"/>
    </w:rPr>
  </w:style>
  <w:style w:type="paragraph" w:styleId="Footer">
    <w:name w:val="footer"/>
    <w:basedOn w:val="Normal"/>
    <w:link w:val="FooterChar"/>
    <w:uiPriority w:val="99"/>
    <w:unhideWhenUsed/>
    <w:rsid w:val="00CB41E1"/>
    <w:pPr>
      <w:tabs>
        <w:tab w:val="center" w:pos="4513"/>
        <w:tab w:val="right" w:pos="9026"/>
      </w:tabs>
    </w:pPr>
  </w:style>
  <w:style w:type="character" w:customStyle="1" w:styleId="FooterChar">
    <w:name w:val="Footer Char"/>
    <w:link w:val="Footer"/>
    <w:uiPriority w:val="99"/>
    <w:rsid w:val="00CB41E1"/>
    <w:rPr>
      <w:sz w:val="22"/>
      <w:szCs w:val="22"/>
      <w:lang w:eastAsia="en-US"/>
    </w:rPr>
  </w:style>
  <w:style w:type="paragraph" w:styleId="PlainText">
    <w:name w:val="Plain Text"/>
    <w:basedOn w:val="Normal"/>
    <w:link w:val="PlainTextChar"/>
    <w:uiPriority w:val="99"/>
    <w:semiHidden/>
    <w:unhideWhenUsed/>
    <w:rsid w:val="00867089"/>
    <w:rPr>
      <w:rFonts w:ascii="Consolas" w:hAnsi="Consolas"/>
      <w:sz w:val="21"/>
      <w:szCs w:val="21"/>
    </w:rPr>
  </w:style>
  <w:style w:type="character" w:customStyle="1" w:styleId="PlainTextChar">
    <w:name w:val="Plain Text Char"/>
    <w:link w:val="PlainText"/>
    <w:uiPriority w:val="99"/>
    <w:semiHidden/>
    <w:rsid w:val="00867089"/>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1344">
      <w:bodyDiv w:val="1"/>
      <w:marLeft w:val="0"/>
      <w:marRight w:val="0"/>
      <w:marTop w:val="0"/>
      <w:marBottom w:val="0"/>
      <w:divBdr>
        <w:top w:val="none" w:sz="0" w:space="0" w:color="auto"/>
        <w:left w:val="none" w:sz="0" w:space="0" w:color="auto"/>
        <w:bottom w:val="none" w:sz="0" w:space="0" w:color="auto"/>
        <w:right w:val="none" w:sz="0" w:space="0" w:color="auto"/>
      </w:divBdr>
    </w:div>
    <w:div w:id="281156446">
      <w:bodyDiv w:val="1"/>
      <w:marLeft w:val="0"/>
      <w:marRight w:val="0"/>
      <w:marTop w:val="0"/>
      <w:marBottom w:val="0"/>
      <w:divBdr>
        <w:top w:val="none" w:sz="0" w:space="0" w:color="auto"/>
        <w:left w:val="none" w:sz="0" w:space="0" w:color="auto"/>
        <w:bottom w:val="none" w:sz="0" w:space="0" w:color="auto"/>
        <w:right w:val="none" w:sz="0" w:space="0" w:color="auto"/>
      </w:divBdr>
    </w:div>
    <w:div w:id="392050766">
      <w:bodyDiv w:val="1"/>
      <w:marLeft w:val="0"/>
      <w:marRight w:val="0"/>
      <w:marTop w:val="0"/>
      <w:marBottom w:val="0"/>
      <w:divBdr>
        <w:top w:val="none" w:sz="0" w:space="0" w:color="auto"/>
        <w:left w:val="none" w:sz="0" w:space="0" w:color="auto"/>
        <w:bottom w:val="none" w:sz="0" w:space="0" w:color="auto"/>
        <w:right w:val="none" w:sz="0" w:space="0" w:color="auto"/>
      </w:divBdr>
    </w:div>
    <w:div w:id="992105662">
      <w:bodyDiv w:val="1"/>
      <w:marLeft w:val="0"/>
      <w:marRight w:val="0"/>
      <w:marTop w:val="0"/>
      <w:marBottom w:val="0"/>
      <w:divBdr>
        <w:top w:val="none" w:sz="0" w:space="0" w:color="auto"/>
        <w:left w:val="none" w:sz="0" w:space="0" w:color="auto"/>
        <w:bottom w:val="none" w:sz="0" w:space="0" w:color="auto"/>
        <w:right w:val="none" w:sz="0" w:space="0" w:color="auto"/>
      </w:divBdr>
    </w:div>
    <w:div w:id="1379665510">
      <w:bodyDiv w:val="1"/>
      <w:marLeft w:val="0"/>
      <w:marRight w:val="0"/>
      <w:marTop w:val="0"/>
      <w:marBottom w:val="0"/>
      <w:divBdr>
        <w:top w:val="none" w:sz="0" w:space="0" w:color="auto"/>
        <w:left w:val="none" w:sz="0" w:space="0" w:color="auto"/>
        <w:bottom w:val="none" w:sz="0" w:space="0" w:color="auto"/>
        <w:right w:val="none" w:sz="0" w:space="0" w:color="auto"/>
      </w:divBdr>
    </w:div>
    <w:div w:id="20179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image" Target="media/image10.jpeg" Id="rId18" /><Relationship Type="http://schemas.openxmlformats.org/officeDocument/2006/relationships/image" Target="media/image18.jpeg" Id="rId26" /><Relationship Type="http://schemas.openxmlformats.org/officeDocument/2006/relationships/numbering" Target="numbering.xml" Id="rId3" /><Relationship Type="http://schemas.openxmlformats.org/officeDocument/2006/relationships/image" Target="media/image13.jpeg" Id="rId21"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image" Target="media/image9.jpeg" Id="rId17" /><Relationship Type="http://schemas.openxmlformats.org/officeDocument/2006/relationships/image" Target="media/image17.jpeg" Id="rId25" /><Relationship Type="http://schemas.openxmlformats.org/officeDocument/2006/relationships/customXml" Target="../customXml/item2.xml" Id="rId2" /><Relationship Type="http://schemas.openxmlformats.org/officeDocument/2006/relationships/image" Target="media/image8.jpeg" Id="rId16" /><Relationship Type="http://schemas.openxmlformats.org/officeDocument/2006/relationships/image" Target="media/image12.jpeg" Id="rId20" /><Relationship Type="http://schemas.openxmlformats.org/officeDocument/2006/relationships/image" Target="media/image21.jpeg" Id="rId29"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image" Target="media/image16.jpeg" Id="rId24" /><Relationship Type="http://schemas.openxmlformats.org/officeDocument/2006/relationships/settings" Target="settings.xml" Id="rId5" /><Relationship Type="http://schemas.openxmlformats.org/officeDocument/2006/relationships/image" Target="media/image7.jpeg" Id="rId15" /><Relationship Type="http://schemas.openxmlformats.org/officeDocument/2006/relationships/image" Target="media/image15.jpeg" Id="rId23" /><Relationship Type="http://schemas.openxmlformats.org/officeDocument/2006/relationships/image" Target="media/image20.jpeg" Id="rId28" /><Relationship Type="http://schemas.openxmlformats.org/officeDocument/2006/relationships/image" Target="media/image2.jpeg" Id="rId10" /><Relationship Type="http://schemas.openxmlformats.org/officeDocument/2006/relationships/image" Target="media/image11.jpeg" Id="rId19" /><Relationship Type="http://schemas.openxmlformats.org/officeDocument/2006/relationships/theme" Target="theme/theme1.xml" Id="rId31"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image" Target="media/image14.jpeg" Id="rId22" /><Relationship Type="http://schemas.openxmlformats.org/officeDocument/2006/relationships/image" Target="media/image19.jpeg" Id="rId27" /><Relationship Type="http://schemas.openxmlformats.org/officeDocument/2006/relationships/fontTable" Target="fontTable.xml" Id="rId30" /><Relationship Type="http://schemas.openxmlformats.org/officeDocument/2006/relationships/customXml" Target="/customXml/item3.xml" Id="R703bb6ad4e074b0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A6819543</value>
    </field>
    <field name="Objective-Title">
      <value order="0">H Housing</value>
    </field>
    <field name="Objective-Description">
      <value order="0"/>
    </field>
    <field name="Objective-CreationStamp">
      <value order="0">2020-08-30T21:38:05Z</value>
    </field>
    <field name="Objective-IsApproved">
      <value order="0">false</value>
    </field>
    <field name="Objective-IsPublished">
      <value order="0">true</value>
    </field>
    <field name="Objective-DatePublished">
      <value order="0">2021-04-23T02:41:19Z</value>
    </field>
    <field name="Objective-ModificationStamp">
      <value order="0">2021-04-23T02:41:19Z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vA9844402</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0F18E9EE-2B06-4994-93E8-BA06B62D281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2017-10-03T22:15:00Z</cp:lastPrinted>
  <dcterms:created xsi:type="dcterms:W3CDTF">2020-08-23T12:26:00Z</dcterms:created>
  <dcterms:modified xsi:type="dcterms:W3CDTF">2021-04-23T02:41:00Z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A6819543</vt:lpwstr>
  </op:property>
  <op:property fmtid="{D5CDD505-2E9C-101B-9397-08002B2CF9AE}" pid="6" name="Objective-Title">
    <vt:lpwstr>H Housing</vt:lpwstr>
  </op:property>
  <op:property fmtid="{D5CDD505-2E9C-101B-9397-08002B2CF9AE}" pid="7" name="Objective-Description">
    <vt:lpwstr/>
  </op:property>
  <op:property fmtid="{D5CDD505-2E9C-101B-9397-08002B2CF9AE}" pid="8" name="Objective-CreationStamp">
    <vt:filetime>2020-08-30T21:38:05Z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2021-04-23T02:41:19Z</vt:filetime>
  </op:property>
  <op:property fmtid="{D5CDD505-2E9C-101B-9397-08002B2CF9AE}" pid="12" name="Objective-ModificationStamp">
    <vt:filetime>2021-04-23T02:41:19Z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vA9844402</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