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C6B6" w14:textId="77777777" w:rsidR="001F13FC" w:rsidRPr="00FB23B1" w:rsidRDefault="001F13FC" w:rsidP="001F13F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rPr>
          <w:rFonts w:ascii="Calibri" w:hAnsi="Calibri"/>
          <w:sz w:val="32"/>
          <w:szCs w:val="32"/>
        </w:rPr>
      </w:pPr>
      <w:r w:rsidRPr="00FB23B1">
        <w:rPr>
          <w:rFonts w:ascii="Calibri" w:hAnsi="Calibri"/>
          <w:b/>
          <w:noProof/>
          <w:sz w:val="32"/>
          <w:szCs w:val="32"/>
        </w:rPr>
        <w:tab/>
      </w:r>
      <w:r>
        <w:rPr>
          <w:rFonts w:ascii="Calibri" w:hAnsi="Calibri"/>
          <w:noProof/>
          <w:sz w:val="32"/>
          <w:szCs w:val="32"/>
        </w:rPr>
        <w:t>Aboriginal</w:t>
      </w:r>
      <w:r w:rsidRPr="00FB23B1">
        <w:rPr>
          <w:rFonts w:ascii="Calibri" w:hAnsi="Calibri"/>
          <w:noProof/>
          <w:sz w:val="32"/>
          <w:szCs w:val="32"/>
        </w:rPr>
        <w:t xml:space="preserve"> Residents</w:t>
      </w:r>
    </w:p>
    <w:p w14:paraId="5950F3CE" w14:textId="77777777" w:rsidR="001F13FC" w:rsidRPr="00D03334" w:rsidRDefault="001F13FC" w:rsidP="001F13FC">
      <w:pPr>
        <w:jc w:val="both"/>
        <w:rPr>
          <w:b/>
          <w:sz w:val="10"/>
          <w:szCs w:val="10"/>
        </w:rPr>
      </w:pPr>
      <w:r>
        <w:rPr>
          <w:rFonts w:ascii="Calibri" w:hAnsi="Calibri"/>
          <w:b/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6E3F3192" wp14:editId="095DA421">
            <wp:simplePos x="0" y="0"/>
            <wp:positionH relativeFrom="column">
              <wp:posOffset>4654550</wp:posOffset>
            </wp:positionH>
            <wp:positionV relativeFrom="paragraph">
              <wp:posOffset>19050</wp:posOffset>
            </wp:positionV>
            <wp:extent cx="1587500" cy="1009650"/>
            <wp:effectExtent l="0" t="0" r="0" b="0"/>
            <wp:wrapTight wrapText="bothSides">
              <wp:wrapPolygon edited="0">
                <wp:start x="1037" y="0"/>
                <wp:lineTo x="0" y="815"/>
                <wp:lineTo x="0" y="19970"/>
                <wp:lineTo x="778" y="21192"/>
                <wp:lineTo x="1037" y="21192"/>
                <wp:lineTo x="20218" y="21192"/>
                <wp:lineTo x="20477" y="21192"/>
                <wp:lineTo x="21254" y="19970"/>
                <wp:lineTo x="21254" y="815"/>
                <wp:lineTo x="20218" y="0"/>
                <wp:lineTo x="1037" y="0"/>
              </wp:wrapPolygon>
            </wp:wrapTight>
            <wp:docPr id="59" name="Picture 16" descr="Ch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60ED1" w14:textId="77777777" w:rsidR="001F13FC" w:rsidRPr="000767DC" w:rsidRDefault="001F13FC" w:rsidP="001F13F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767DC">
        <w:rPr>
          <w:rFonts w:ascii="Calibri" w:hAnsi="Calibri"/>
          <w:b/>
          <w:sz w:val="22"/>
          <w:szCs w:val="22"/>
        </w:rPr>
        <w:t>Population</w:t>
      </w:r>
    </w:p>
    <w:p w14:paraId="2A9312DD" w14:textId="77777777" w:rsidR="001F13F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7755C">
        <w:rPr>
          <w:rFonts w:ascii="Calibri" w:hAnsi="Calibri"/>
          <w:sz w:val="22"/>
          <w:szCs w:val="22"/>
        </w:rPr>
        <w:t xml:space="preserve">The number of </w:t>
      </w: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recorded</w:t>
      </w:r>
      <w:r w:rsidRPr="0067755C">
        <w:rPr>
          <w:rFonts w:ascii="Calibri" w:hAnsi="Calibri"/>
          <w:sz w:val="22"/>
          <w:szCs w:val="22"/>
        </w:rPr>
        <w:t xml:space="preserve"> by the Census in Greater Dandenong trebled from 150 in 1981, to </w:t>
      </w:r>
      <w:r>
        <w:rPr>
          <w:rFonts w:ascii="Calibri" w:hAnsi="Calibri"/>
          <w:sz w:val="22"/>
          <w:szCs w:val="22"/>
        </w:rPr>
        <w:t xml:space="preserve">516 </w:t>
      </w:r>
      <w:r w:rsidRPr="0067755C">
        <w:rPr>
          <w:rFonts w:ascii="Calibri" w:hAnsi="Calibri"/>
          <w:sz w:val="22"/>
          <w:szCs w:val="22"/>
        </w:rPr>
        <w:t>by 201</w:t>
      </w:r>
      <w:r>
        <w:rPr>
          <w:rFonts w:ascii="Calibri" w:hAnsi="Calibri"/>
          <w:sz w:val="22"/>
          <w:szCs w:val="22"/>
        </w:rPr>
        <w:t>6</w:t>
      </w:r>
      <w:r w:rsidRPr="0067755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representing</w:t>
      </w:r>
      <w:r w:rsidRPr="0067755C">
        <w:rPr>
          <w:rFonts w:ascii="Calibri" w:hAnsi="Calibri"/>
          <w:sz w:val="22"/>
          <w:szCs w:val="22"/>
        </w:rPr>
        <w:t xml:space="preserve"> 0.</w:t>
      </w:r>
      <w:r>
        <w:rPr>
          <w:rFonts w:ascii="Calibri" w:hAnsi="Calibri"/>
          <w:sz w:val="22"/>
          <w:szCs w:val="22"/>
        </w:rPr>
        <w:t>3% of the population</w:t>
      </w:r>
      <w:r w:rsidRPr="0067755C">
        <w:rPr>
          <w:rFonts w:ascii="Calibri" w:hAnsi="Calibri"/>
          <w:sz w:val="22"/>
          <w:szCs w:val="22"/>
        </w:rPr>
        <w:t>. Within this city and its adjoining municipalities</w:t>
      </w:r>
      <w:r>
        <w:rPr>
          <w:rStyle w:val="FootnoteReference"/>
          <w:rFonts w:ascii="Calibri" w:hAnsi="Calibri"/>
          <w:sz w:val="22"/>
          <w:szCs w:val="22"/>
        </w:rPr>
        <w:footnoteReference w:id="1"/>
      </w:r>
      <w:r w:rsidRPr="0067755C">
        <w:rPr>
          <w:rFonts w:ascii="Calibri" w:hAnsi="Calibri"/>
          <w:sz w:val="22"/>
          <w:szCs w:val="22"/>
        </w:rPr>
        <w:t>, the 20</w:t>
      </w:r>
      <w:r>
        <w:rPr>
          <w:rFonts w:ascii="Calibri" w:hAnsi="Calibri"/>
          <w:sz w:val="22"/>
          <w:szCs w:val="22"/>
        </w:rPr>
        <w:t>16</w:t>
      </w:r>
      <w:r w:rsidRPr="0067755C">
        <w:rPr>
          <w:rFonts w:ascii="Calibri" w:hAnsi="Calibri"/>
          <w:sz w:val="22"/>
          <w:szCs w:val="22"/>
        </w:rPr>
        <w:t xml:space="preserve"> Census recorded nearly </w:t>
      </w:r>
      <w:r>
        <w:rPr>
          <w:rFonts w:ascii="Calibri" w:hAnsi="Calibri"/>
          <w:sz w:val="22"/>
          <w:szCs w:val="22"/>
        </w:rPr>
        <w:t>5,217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residents.</w:t>
      </w:r>
      <w:r>
        <w:rPr>
          <w:rFonts w:ascii="Calibri" w:hAnsi="Calibri"/>
          <w:sz w:val="22"/>
          <w:szCs w:val="22"/>
        </w:rPr>
        <w:t xml:space="preserve"> </w:t>
      </w:r>
    </w:p>
    <w:p w14:paraId="67475ED5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Those</w:t>
      </w:r>
      <w:r w:rsidRPr="0067755C">
        <w:rPr>
          <w:rFonts w:ascii="Calibri" w:hAnsi="Calibri"/>
          <w:sz w:val="22"/>
          <w:szCs w:val="22"/>
        </w:rPr>
        <w:t xml:space="preserve"> people living in Greater Dandenong are relatively young, with </w:t>
      </w:r>
      <w:r>
        <w:rPr>
          <w:rFonts w:ascii="Calibri" w:hAnsi="Calibri"/>
          <w:sz w:val="22"/>
          <w:szCs w:val="22"/>
        </w:rPr>
        <w:t xml:space="preserve">nearly one-half </w:t>
      </w:r>
      <w:r w:rsidRPr="0067755C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48</w:t>
      </w:r>
      <w:r w:rsidRPr="0067755C">
        <w:rPr>
          <w:rFonts w:ascii="Calibri" w:hAnsi="Calibri"/>
          <w:sz w:val="22"/>
          <w:szCs w:val="22"/>
        </w:rPr>
        <w:t xml:space="preserve">%) aged less than </w:t>
      </w:r>
      <w:r>
        <w:rPr>
          <w:rFonts w:ascii="Calibri" w:hAnsi="Calibri"/>
          <w:sz w:val="22"/>
          <w:szCs w:val="22"/>
        </w:rPr>
        <w:t xml:space="preserve">24 years, compared with 32% </w:t>
      </w:r>
      <w:r w:rsidRPr="0067755C">
        <w:rPr>
          <w:rFonts w:ascii="Calibri" w:hAnsi="Calibri"/>
          <w:sz w:val="22"/>
          <w:szCs w:val="22"/>
        </w:rPr>
        <w:t xml:space="preserve">of the general population. Conversely, </w:t>
      </w:r>
      <w:r>
        <w:rPr>
          <w:rFonts w:ascii="Calibri" w:hAnsi="Calibri"/>
          <w:sz w:val="22"/>
          <w:szCs w:val="22"/>
        </w:rPr>
        <w:t>8</w:t>
      </w:r>
      <w:r w:rsidRPr="0067755C">
        <w:rPr>
          <w:rFonts w:ascii="Calibri" w:hAnsi="Calibri"/>
          <w:sz w:val="22"/>
          <w:szCs w:val="22"/>
        </w:rPr>
        <w:t xml:space="preserve">% are aged 65 years or more, compared with 14% of </w:t>
      </w:r>
      <w:r>
        <w:rPr>
          <w:rFonts w:ascii="Calibri" w:hAnsi="Calibri"/>
          <w:sz w:val="22"/>
          <w:szCs w:val="22"/>
        </w:rPr>
        <w:t xml:space="preserve">non-Aboriginal </w:t>
      </w:r>
      <w:r w:rsidRPr="0067755C">
        <w:rPr>
          <w:rFonts w:ascii="Calibri" w:hAnsi="Calibri"/>
          <w:sz w:val="22"/>
          <w:szCs w:val="22"/>
        </w:rPr>
        <w:t>residents.</w:t>
      </w:r>
      <w:r>
        <w:rPr>
          <w:rFonts w:ascii="Calibri" w:hAnsi="Calibri"/>
          <w:sz w:val="22"/>
          <w:szCs w:val="22"/>
        </w:rPr>
        <w:t xml:space="preserve"> Their median age is 26 years, compared with 35 for the general population, reflecting their lower life expectancy and higher birth rates.</w:t>
      </w:r>
    </w:p>
    <w:p w14:paraId="380DF436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 xml:space="preserve">Per cent of Population by Age: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and </w:t>
      </w:r>
    </w:p>
    <w:p w14:paraId="0A5E8580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Residents, Greater Dandenong, 201</w:t>
      </w:r>
      <w:r>
        <w:rPr>
          <w:rFonts w:ascii="Calibri" w:hAnsi="Calibri"/>
          <w:color w:val="808080"/>
          <w:sz w:val="20"/>
          <w:szCs w:val="20"/>
        </w:rPr>
        <w:t>6</w:t>
      </w:r>
    </w:p>
    <w:p w14:paraId="673436B8" w14:textId="77777777" w:rsidR="001F13FC" w:rsidRPr="0067755C" w:rsidRDefault="001F13FC" w:rsidP="001F13FC">
      <w:pPr>
        <w:spacing w:after="120"/>
        <w:jc w:val="both"/>
        <w:rPr>
          <w:rFonts w:ascii="Calibri" w:hAnsi="Calibri"/>
          <w:b/>
          <w:color w:val="808080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686E43A7" wp14:editId="69264A50">
            <wp:simplePos x="0" y="0"/>
            <wp:positionH relativeFrom="column">
              <wp:posOffset>3175</wp:posOffset>
            </wp:positionH>
            <wp:positionV relativeFrom="paragraph">
              <wp:posOffset>6985</wp:posOffset>
            </wp:positionV>
            <wp:extent cx="3707765" cy="2729230"/>
            <wp:effectExtent l="0" t="0" r="6985" b="0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72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2"/>
          <w:szCs w:val="22"/>
        </w:rPr>
        <w:t>Housing</w:t>
      </w:r>
    </w:p>
    <w:p w14:paraId="59242C06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Greater Dandenong </w:t>
      </w:r>
      <w:r w:rsidRPr="0067755C">
        <w:rPr>
          <w:rFonts w:ascii="Calibri" w:hAnsi="Calibri"/>
          <w:sz w:val="22"/>
          <w:szCs w:val="22"/>
        </w:rPr>
        <w:t>are</w:t>
      </w:r>
      <w:r>
        <w:rPr>
          <w:rFonts w:ascii="Calibri" w:hAnsi="Calibri"/>
          <w:sz w:val="22"/>
          <w:szCs w:val="22"/>
        </w:rPr>
        <w:t xml:space="preserve"> </w:t>
      </w:r>
      <w:r w:rsidRPr="0067755C">
        <w:rPr>
          <w:rFonts w:ascii="Calibri" w:hAnsi="Calibri"/>
          <w:sz w:val="22"/>
          <w:szCs w:val="22"/>
        </w:rPr>
        <w:t>half as likely to own or be purchasing their homes (3</w:t>
      </w:r>
      <w:r>
        <w:rPr>
          <w:rFonts w:ascii="Calibri" w:hAnsi="Calibri"/>
          <w:sz w:val="22"/>
          <w:szCs w:val="22"/>
        </w:rPr>
        <w:t>3</w:t>
      </w:r>
      <w:r w:rsidRPr="0067755C">
        <w:rPr>
          <w:rFonts w:ascii="Calibri" w:hAnsi="Calibri"/>
          <w:sz w:val="22"/>
          <w:szCs w:val="22"/>
        </w:rPr>
        <w:t>%) as the general population (6</w:t>
      </w:r>
      <w:r>
        <w:rPr>
          <w:rFonts w:ascii="Calibri" w:hAnsi="Calibri"/>
          <w:sz w:val="22"/>
          <w:szCs w:val="22"/>
        </w:rPr>
        <w:t>1</w:t>
      </w:r>
      <w:r w:rsidRPr="0067755C">
        <w:rPr>
          <w:rFonts w:ascii="Calibri" w:hAnsi="Calibri"/>
          <w:sz w:val="22"/>
          <w:szCs w:val="22"/>
        </w:rPr>
        <w:t>%), and more often</w:t>
      </w:r>
      <w:r>
        <w:rPr>
          <w:rFonts w:ascii="Calibri" w:hAnsi="Calibri"/>
          <w:sz w:val="22"/>
          <w:szCs w:val="22"/>
        </w:rPr>
        <w:t xml:space="preserve"> rent their accommodation</w:t>
      </w:r>
      <w:r w:rsidRPr="0067755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Twenty-seven per cent of Aboriginal</w:t>
      </w:r>
      <w:r w:rsidRPr="0067755C">
        <w:rPr>
          <w:rFonts w:ascii="Calibri" w:hAnsi="Calibri"/>
          <w:sz w:val="22"/>
          <w:szCs w:val="22"/>
        </w:rPr>
        <w:t xml:space="preserve"> residents rent from government or </w:t>
      </w:r>
      <w:r>
        <w:rPr>
          <w:rFonts w:ascii="Calibri" w:hAnsi="Calibri"/>
          <w:sz w:val="22"/>
          <w:szCs w:val="22"/>
        </w:rPr>
        <w:t>community agencies</w:t>
      </w:r>
      <w:r w:rsidRPr="0067755C">
        <w:rPr>
          <w:rFonts w:ascii="Calibri" w:hAnsi="Calibri"/>
          <w:sz w:val="22"/>
          <w:szCs w:val="22"/>
        </w:rPr>
        <w:t xml:space="preserve">, compared </w:t>
      </w:r>
      <w:r>
        <w:rPr>
          <w:rFonts w:ascii="Calibri" w:hAnsi="Calibri"/>
          <w:sz w:val="22"/>
          <w:szCs w:val="22"/>
        </w:rPr>
        <w:t>with 4% of</w:t>
      </w:r>
      <w:r w:rsidRPr="0067755C">
        <w:rPr>
          <w:rFonts w:ascii="Calibri" w:hAnsi="Calibri"/>
          <w:sz w:val="22"/>
          <w:szCs w:val="22"/>
        </w:rPr>
        <w:t xml:space="preserve"> non-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residents</w:t>
      </w:r>
      <w:r w:rsidRPr="0067755C">
        <w:rPr>
          <w:rFonts w:ascii="Calibri" w:hAnsi="Calibri"/>
          <w:sz w:val="22"/>
          <w:szCs w:val="22"/>
        </w:rPr>
        <w:t>.</w:t>
      </w:r>
    </w:p>
    <w:p w14:paraId="5BB9D3B2" w14:textId="77777777" w:rsidR="001F13FC" w:rsidRDefault="001F13FC" w:rsidP="001F13FC">
      <w:pPr>
        <w:spacing w:line="360" w:lineRule="auto"/>
        <w:jc w:val="both"/>
        <w:rPr>
          <w:rFonts w:ascii="Calibri" w:hAnsi="Calibri"/>
          <w:color w:val="808080"/>
          <w:sz w:val="20"/>
          <w:szCs w:val="20"/>
        </w:rPr>
      </w:pPr>
    </w:p>
    <w:p w14:paraId="02FB34A0" w14:textId="77777777" w:rsidR="001F13FC" w:rsidRDefault="001F13FC" w:rsidP="001F13FC">
      <w:pPr>
        <w:tabs>
          <w:tab w:val="left" w:pos="4678"/>
        </w:tabs>
        <w:jc w:val="both"/>
        <w:rPr>
          <w:rFonts w:ascii="Calibri" w:hAnsi="Calibri"/>
          <w:color w:val="808080"/>
          <w:sz w:val="20"/>
          <w:szCs w:val="20"/>
        </w:rPr>
      </w:pPr>
      <w:r w:rsidRPr="00441604">
        <w:rPr>
          <w:rFonts w:ascii="Calibri" w:hAnsi="Calibri"/>
          <w:b/>
          <w:color w:val="000000"/>
          <w:sz w:val="22"/>
          <w:szCs w:val="22"/>
        </w:rPr>
        <w:t>Families</w:t>
      </w:r>
      <w:r>
        <w:rPr>
          <w:rFonts w:ascii="Calibri" w:hAnsi="Calibri"/>
          <w:color w:val="808080"/>
          <w:sz w:val="20"/>
          <w:szCs w:val="20"/>
        </w:rPr>
        <w:tab/>
      </w:r>
      <w:proofErr w:type="spellStart"/>
      <w:r>
        <w:rPr>
          <w:rFonts w:ascii="Calibri" w:hAnsi="Calibri"/>
          <w:color w:val="808080"/>
          <w:sz w:val="20"/>
          <w:szCs w:val="20"/>
        </w:rPr>
        <w:t>Families</w:t>
      </w:r>
      <w:proofErr w:type="spellEnd"/>
      <w:r w:rsidRPr="00DB7E3A">
        <w:rPr>
          <w:rFonts w:ascii="Calibri" w:hAnsi="Calibri"/>
          <w:color w:val="808080"/>
          <w:sz w:val="20"/>
          <w:szCs w:val="20"/>
        </w:rPr>
        <w:t xml:space="preserve"> with Children by Type: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and</w:t>
      </w:r>
    </w:p>
    <w:p w14:paraId="7A1E933F" w14:textId="77777777" w:rsidR="001F13FC" w:rsidRPr="00E9667C" w:rsidRDefault="001F13FC" w:rsidP="001F13FC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808080"/>
          <w:sz w:val="20"/>
          <w:szCs w:val="20"/>
        </w:rPr>
        <w:tab/>
      </w:r>
      <w:r w:rsidRPr="00DB7E3A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Residents, Greater Dandenong, 2016</w:t>
      </w:r>
    </w:p>
    <w:p w14:paraId="0203CFC7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color w:val="808080"/>
          <w:sz w:val="18"/>
          <w:szCs w:val="18"/>
        </w:rPr>
      </w:pPr>
      <w:r>
        <w:rPr>
          <w:rFonts w:ascii="Calibri" w:hAnsi="Calibri"/>
          <w:noProof/>
          <w:color w:val="808080"/>
          <w:sz w:val="18"/>
          <w:szCs w:val="1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CFDC76F" wp14:editId="2ED8EE81">
            <wp:simplePos x="0" y="0"/>
            <wp:positionH relativeFrom="column">
              <wp:posOffset>3118485</wp:posOffset>
            </wp:positionH>
            <wp:positionV relativeFrom="paragraph">
              <wp:posOffset>66040</wp:posOffset>
            </wp:positionV>
            <wp:extent cx="3005455" cy="2033270"/>
            <wp:effectExtent l="0" t="0" r="4445" b="5080"/>
            <wp:wrapTight wrapText="bothSides">
              <wp:wrapPolygon edited="0">
                <wp:start x="0" y="0"/>
                <wp:lineTo x="0" y="21452"/>
                <wp:lineTo x="21495" y="21452"/>
                <wp:lineTo x="214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3" r="9607" b="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3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t>In 2016, nearly two-thirds</w:t>
      </w:r>
      <w:r w:rsidRPr="0067755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63</w:t>
      </w:r>
      <w:r w:rsidRPr="0067755C">
        <w:rPr>
          <w:rFonts w:ascii="Calibri" w:hAnsi="Calibri"/>
          <w:sz w:val="22"/>
          <w:szCs w:val="22"/>
        </w:rPr>
        <w:t xml:space="preserve">%) of </w:t>
      </w:r>
      <w:r>
        <w:rPr>
          <w:rFonts w:ascii="Calibri" w:hAnsi="Calibri"/>
          <w:sz w:val="22"/>
          <w:szCs w:val="22"/>
        </w:rPr>
        <w:t xml:space="preserve">Aboriginal and Torres Strait Islander </w:t>
      </w:r>
      <w:r w:rsidRPr="0067755C">
        <w:rPr>
          <w:rFonts w:ascii="Calibri" w:hAnsi="Calibri"/>
          <w:sz w:val="22"/>
          <w:szCs w:val="22"/>
        </w:rPr>
        <w:t xml:space="preserve">families with children </w:t>
      </w:r>
      <w:r>
        <w:rPr>
          <w:rFonts w:ascii="Calibri" w:hAnsi="Calibri"/>
          <w:sz w:val="22"/>
          <w:szCs w:val="22"/>
        </w:rPr>
        <w:t>in Greater Dandenong we</w:t>
      </w:r>
      <w:r w:rsidRPr="0067755C">
        <w:rPr>
          <w:rFonts w:ascii="Calibri" w:hAnsi="Calibri"/>
          <w:sz w:val="22"/>
          <w:szCs w:val="22"/>
        </w:rPr>
        <w:t>re one-parent families</w:t>
      </w:r>
      <w:r>
        <w:rPr>
          <w:rFonts w:ascii="Calibri" w:hAnsi="Calibri"/>
          <w:sz w:val="22"/>
          <w:szCs w:val="22"/>
        </w:rPr>
        <w:t xml:space="preserve"> – the second highest rate among Aboriginal residents in Victoria and more than twice the level of</w:t>
      </w:r>
      <w:r w:rsidRPr="0067755C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7</w:t>
      </w:r>
      <w:r w:rsidRPr="0067755C">
        <w:rPr>
          <w:rFonts w:ascii="Calibri" w:hAnsi="Calibri"/>
          <w:sz w:val="22"/>
          <w:szCs w:val="22"/>
        </w:rPr>
        <w:t>% among the general population.</w:t>
      </w:r>
      <w:r>
        <w:rPr>
          <w:rFonts w:ascii="Calibri" w:hAnsi="Calibri"/>
          <w:sz w:val="22"/>
          <w:szCs w:val="22"/>
        </w:rPr>
        <w:t xml:space="preserve"> In the same year, 46% of local Aboriginal families with children had no parent in paid employment.</w:t>
      </w:r>
    </w:p>
    <w:p w14:paraId="6746C175" w14:textId="77777777" w:rsidR="001F13FC" w:rsidRPr="0067755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Early birth rates were relatively high among young Aboriginal and Torres Strait Islander women, with 7.7% of </w:t>
      </w:r>
      <w:proofErr w:type="gramStart"/>
      <w:r>
        <w:rPr>
          <w:rFonts w:ascii="Calibri" w:hAnsi="Calibri"/>
          <w:sz w:val="22"/>
          <w:szCs w:val="22"/>
        </w:rPr>
        <w:t>15-24 year-old</w:t>
      </w:r>
      <w:proofErr w:type="gramEnd"/>
      <w:r>
        <w:rPr>
          <w:rFonts w:ascii="Calibri" w:hAnsi="Calibri"/>
          <w:sz w:val="22"/>
          <w:szCs w:val="22"/>
        </w:rPr>
        <w:t xml:space="preserve"> women in Greater Dandenong having borne a child, compared with 3% of non-Aboriginal women of that age.</w:t>
      </w:r>
    </w:p>
    <w:p w14:paraId="2078A03E" w14:textId="7777777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 xml:space="preserve">Education </w:t>
      </w:r>
    </w:p>
    <w:p w14:paraId="4EA822DE" w14:textId="49791D5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>The 2018 Australian Early Development Index found that 65% of Victorian prep. pupils of Aboriginal or Torres Strait Islander descent were vulnerable in one or more domains of development</w:t>
      </w:r>
      <w:r w:rsidRPr="00E83D59">
        <w:rPr>
          <w:rStyle w:val="FootnoteReference"/>
          <w:rFonts w:ascii="Calibri" w:hAnsi="Calibri"/>
          <w:sz w:val="22"/>
          <w:szCs w:val="22"/>
        </w:rPr>
        <w:footnoteReference w:id="2"/>
      </w:r>
      <w:r w:rsidRPr="00E83D59">
        <w:rPr>
          <w:rFonts w:ascii="Calibri" w:hAnsi="Calibri"/>
          <w:sz w:val="22"/>
          <w:szCs w:val="22"/>
        </w:rPr>
        <w:t>, compared with 20% of all prep. pupils across the State.</w:t>
      </w:r>
    </w:p>
    <w:p w14:paraId="234E8F45" w14:textId="344E650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 xml:space="preserve">In 2016, 43% of young Aboriginal </w:t>
      </w:r>
      <w:r>
        <w:rPr>
          <w:rFonts w:ascii="Calibri" w:hAnsi="Calibri"/>
          <w:sz w:val="22"/>
          <w:szCs w:val="22"/>
        </w:rPr>
        <w:t xml:space="preserve">and Torres Strait Islander </w:t>
      </w:r>
      <w:r w:rsidRPr="00E83D59">
        <w:rPr>
          <w:rFonts w:ascii="Calibri" w:hAnsi="Calibri"/>
          <w:sz w:val="22"/>
          <w:szCs w:val="22"/>
        </w:rPr>
        <w:t xml:space="preserve">adults aged 20 to 24 years, had left school early – over three times the corresponding level of 13% among non-Aboriginal young adults in Greater Dandenong. Of Aboriginal residents aged 25 to 44 years, 4% held a degree or higher qualification in 2016, compared with 33% of </w:t>
      </w:r>
      <w:r w:rsidRPr="00F61E8F">
        <w:rPr>
          <w:rFonts w:ascii="Calibri" w:hAnsi="Calibri"/>
          <w:sz w:val="22"/>
          <w:szCs w:val="22"/>
        </w:rPr>
        <w:t>people that age across Greater Dandenong</w:t>
      </w:r>
      <w:r w:rsidRPr="00E83D59">
        <w:rPr>
          <w:rFonts w:ascii="Calibri" w:hAnsi="Calibri"/>
          <w:sz w:val="22"/>
          <w:szCs w:val="22"/>
        </w:rPr>
        <w:t>.</w:t>
      </w:r>
    </w:p>
    <w:p w14:paraId="17DAFDC5" w14:textId="6E04FC9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t>Employment</w:t>
      </w:r>
    </w:p>
    <w:p w14:paraId="47462EC8" w14:textId="58184965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971D89">
        <w:rPr>
          <w:rFonts w:asciiTheme="minorHAnsi" w:hAnsiTheme="minorHAnsi"/>
          <w:color w:val="000000"/>
          <w:sz w:val="22"/>
          <w:szCs w:val="22"/>
        </w:rPr>
        <w:t>The 201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971D89">
        <w:rPr>
          <w:rFonts w:asciiTheme="minorHAnsi" w:hAnsiTheme="minorHAnsi"/>
          <w:color w:val="000000"/>
          <w:sz w:val="22"/>
          <w:szCs w:val="22"/>
        </w:rPr>
        <w:t xml:space="preserve"> Census </w:t>
      </w:r>
      <w:r>
        <w:rPr>
          <w:rFonts w:asciiTheme="minorHAnsi" w:hAnsiTheme="minorHAnsi"/>
          <w:color w:val="000000"/>
          <w:sz w:val="22"/>
          <w:szCs w:val="22"/>
        </w:rPr>
        <w:t>recorded an unemployment rate of 22% among Aboriginal and Torres Strait Islander residents of Greater Dandenong, compared with 10% among the general population</w:t>
      </w:r>
      <w:r w:rsidRPr="00971D89">
        <w:rPr>
          <w:rFonts w:asciiTheme="minorHAnsi" w:hAnsiTheme="minorHAnsi"/>
          <w:color w:val="000000"/>
          <w:sz w:val="22"/>
          <w:szCs w:val="22"/>
        </w:rPr>
        <w:t>.</w:t>
      </w:r>
    </w:p>
    <w:p w14:paraId="6A7D7BAE" w14:textId="657CC5C8" w:rsidR="001F13FC" w:rsidRPr="001E2820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1E2820">
        <w:rPr>
          <w:rFonts w:ascii="Calibri" w:hAnsi="Calibri"/>
          <w:b/>
          <w:sz w:val="22"/>
          <w:szCs w:val="22"/>
        </w:rPr>
        <w:t>Disability</w:t>
      </w:r>
    </w:p>
    <w:p w14:paraId="48E2C049" w14:textId="697A796D" w:rsidR="001F13FC" w:rsidRP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2016 Census revealed that the prevalence of severe or profound disability requiring daily assistance with self-care, communication or mobility among people aged 20 to 64 years,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was 12.1% among Aboriginal residents – more than</w:t>
      </w:r>
      <w:r w:rsidRPr="0067755C">
        <w:rPr>
          <w:rFonts w:ascii="Calibri" w:hAnsi="Calibri"/>
          <w:sz w:val="22"/>
          <w:szCs w:val="22"/>
        </w:rPr>
        <w:t xml:space="preserve"> the corresponding rate</w:t>
      </w:r>
      <w:r>
        <w:rPr>
          <w:rFonts w:ascii="Calibri" w:hAnsi="Calibri"/>
          <w:sz w:val="22"/>
          <w:szCs w:val="22"/>
        </w:rPr>
        <w:t xml:space="preserve"> of 7.1% </w:t>
      </w:r>
      <w:r w:rsidRPr="0067755C">
        <w:rPr>
          <w:rFonts w:ascii="Calibri" w:hAnsi="Calibri"/>
          <w:sz w:val="22"/>
          <w:szCs w:val="22"/>
        </w:rPr>
        <w:t>among the general population</w:t>
      </w:r>
      <w:r>
        <w:rPr>
          <w:rFonts w:ascii="Calibri" w:hAnsi="Calibri"/>
          <w:sz w:val="22"/>
          <w:szCs w:val="22"/>
        </w:rPr>
        <w:t>.</w:t>
      </w:r>
      <w:r w:rsidRPr="0067755C">
        <w:rPr>
          <w:rFonts w:ascii="Calibri" w:hAnsi="Calibri"/>
          <w:sz w:val="22"/>
          <w:szCs w:val="22"/>
        </w:rPr>
        <w:t xml:space="preserve"> </w:t>
      </w:r>
    </w:p>
    <w:p w14:paraId="3DF78B8F" w14:textId="7DEEB584" w:rsidR="001F13FC" w:rsidRPr="0080791E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80791E">
        <w:rPr>
          <w:rFonts w:ascii="Calibri" w:hAnsi="Calibri"/>
          <w:b/>
          <w:sz w:val="22"/>
          <w:szCs w:val="22"/>
        </w:rPr>
        <w:t xml:space="preserve">Geographic Distribution of </w:t>
      </w:r>
      <w:r>
        <w:rPr>
          <w:rFonts w:ascii="Calibri" w:hAnsi="Calibri"/>
          <w:b/>
          <w:sz w:val="22"/>
          <w:szCs w:val="22"/>
        </w:rPr>
        <w:t>Aboriginal</w:t>
      </w:r>
      <w:r w:rsidRPr="0080791E">
        <w:rPr>
          <w:rFonts w:ascii="Calibri" w:hAnsi="Calibri"/>
          <w:b/>
          <w:sz w:val="22"/>
          <w:szCs w:val="22"/>
        </w:rPr>
        <w:t xml:space="preserve"> Residents</w:t>
      </w:r>
    </w:p>
    <w:p w14:paraId="5CB1BB06" w14:textId="65DB282C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287524">
        <w:rPr>
          <w:rFonts w:ascii="Calibri" w:hAnsi="Calibri"/>
          <w:noProof/>
          <w:color w:val="7F7F7F" w:themeColor="text1" w:themeTint="80"/>
          <w:sz w:val="20"/>
          <w:szCs w:val="20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53428408" wp14:editId="7C166C96">
            <wp:simplePos x="0" y="0"/>
            <wp:positionH relativeFrom="column">
              <wp:posOffset>1544052</wp:posOffset>
            </wp:positionH>
            <wp:positionV relativeFrom="paragraph">
              <wp:posOffset>1482</wp:posOffset>
            </wp:positionV>
            <wp:extent cx="4827961" cy="4834466"/>
            <wp:effectExtent l="0" t="0" r="0" b="4445"/>
            <wp:wrapSquare wrapText="bothSides"/>
            <wp:docPr id="1" name="Picture 1" descr="M Indigenous Residents (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 Indigenous Residents (%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17191" r="1814"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90" cy="4835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0B95C" w14:textId="4143ECA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accompanying map illustrates the distribution of Aboriginal and Torres Strait Islanders across metropolitan Melbourne, recorded in the 2016 Census.</w:t>
      </w:r>
    </w:p>
    <w:p w14:paraId="7EB3D2A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7F2069DF" wp14:editId="198A7AB6">
            <wp:simplePos x="0" y="0"/>
            <wp:positionH relativeFrom="column">
              <wp:posOffset>-12700</wp:posOffset>
            </wp:positionH>
            <wp:positionV relativeFrom="line">
              <wp:posOffset>182245</wp:posOffset>
            </wp:positionV>
            <wp:extent cx="1311910" cy="8724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7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BDB6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720ECAC0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3C852D9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5C3223C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0A92D4FF" w14:textId="7777777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E01F65B" w14:textId="73B66D2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885D419" w14:textId="484E463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7DE7E58B" w14:textId="445E0F9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788E4B3" w14:textId="09BAA6DC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589FF4C0" w14:textId="0B7D57C0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C54D1FB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>Trends in Social Conditions</w:t>
      </w:r>
    </w:p>
    <w:p w14:paraId="0D086A9F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examination of the findings of the 2006 and 2016 Censuses provides a glimpse of changes in social conditions among Aboriginal and Torre Strait Islanders in Greater Dandenong during that decade.</w:t>
      </w:r>
    </w:p>
    <w:p w14:paraId="16EF008C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09264C4" wp14:editId="3B30AC70">
            <wp:simplePos x="0" y="0"/>
            <wp:positionH relativeFrom="column">
              <wp:posOffset>3242310</wp:posOffset>
            </wp:positionH>
            <wp:positionV relativeFrom="paragraph">
              <wp:posOffset>68580</wp:posOffset>
            </wp:positionV>
            <wp:extent cx="2653665" cy="17951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C9D5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441604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441604">
        <w:rPr>
          <w:rFonts w:ascii="Calibri" w:hAnsi="Calibri"/>
          <w:color w:val="7F7F7F"/>
          <w:sz w:val="18"/>
          <w:szCs w:val="18"/>
        </w:rPr>
        <w:t>20-24 year-olds</w:t>
      </w:r>
      <w:proofErr w:type="gramEnd"/>
      <w:r w:rsidRPr="00441604">
        <w:rPr>
          <w:rFonts w:ascii="Calibri" w:hAnsi="Calibri"/>
          <w:color w:val="7F7F7F"/>
          <w:sz w:val="18"/>
          <w:szCs w:val="18"/>
        </w:rPr>
        <w:t xml:space="preserve"> who had left school before completing year 11: Greater Dandenong, 2006 and 2016</w:t>
      </w:r>
    </w:p>
    <w:p w14:paraId="6EEFDB7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2C2BA4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bookmarkStart w:id="0" w:name="_Hlk23501094"/>
      <w:r>
        <w:rPr>
          <w:rFonts w:ascii="Calibri" w:hAnsi="Calibri"/>
          <w:sz w:val="22"/>
          <w:szCs w:val="22"/>
        </w:rPr>
        <w:t>The proportion of young Aboriginal and Torres Strait Islanders who had left school before completing year 11 rose from 34% to 43%, in the decade to 2016.</w:t>
      </w:r>
    </w:p>
    <w:bookmarkEnd w:id="0"/>
    <w:p w14:paraId="0370CDB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198FFD56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43F6844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633D83A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5541AA1" wp14:editId="168E7971">
            <wp:simplePos x="0" y="0"/>
            <wp:positionH relativeFrom="column">
              <wp:posOffset>1484536</wp:posOffset>
            </wp:positionH>
            <wp:positionV relativeFrom="line">
              <wp:posOffset>12473</wp:posOffset>
            </wp:positionV>
            <wp:extent cx="1314450" cy="866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2D5AD8D" wp14:editId="0A7001B2">
            <wp:simplePos x="0" y="0"/>
            <wp:positionH relativeFrom="column">
              <wp:posOffset>57150</wp:posOffset>
            </wp:positionH>
            <wp:positionV relativeFrom="paragraph">
              <wp:posOffset>118745</wp:posOffset>
            </wp:positionV>
            <wp:extent cx="2778760" cy="185483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07662" w14:textId="77777777" w:rsidR="001F13FC" w:rsidRPr="00CF441D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28FA69D7" w14:textId="77777777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 xml:space="preserve">Aboriginal </w:t>
      </w:r>
      <w:proofErr w:type="gramStart"/>
      <w:r>
        <w:rPr>
          <w:rFonts w:ascii="Calibri" w:hAnsi="Calibri"/>
          <w:color w:val="7F7F7F"/>
          <w:sz w:val="18"/>
          <w:szCs w:val="18"/>
        </w:rPr>
        <w:t>15-24 year-old</w:t>
      </w:r>
      <w:proofErr w:type="gramEnd"/>
      <w:r>
        <w:rPr>
          <w:rFonts w:ascii="Calibri" w:hAnsi="Calibri"/>
          <w:color w:val="7F7F7F"/>
          <w:sz w:val="18"/>
          <w:szCs w:val="18"/>
        </w:rPr>
        <w:t xml:space="preserve"> women with children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29BB279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BEA6E1A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During the same period, the proportion of 15 to </w:t>
      </w:r>
      <w:proofErr w:type="gramStart"/>
      <w:r>
        <w:rPr>
          <w:rFonts w:ascii="Calibri" w:hAnsi="Calibri"/>
          <w:sz w:val="22"/>
          <w:szCs w:val="22"/>
        </w:rPr>
        <w:t>24 year-old</w:t>
      </w:r>
      <w:proofErr w:type="gramEnd"/>
      <w:r>
        <w:rPr>
          <w:rFonts w:ascii="Calibri" w:hAnsi="Calibri"/>
          <w:sz w:val="22"/>
          <w:szCs w:val="22"/>
        </w:rPr>
        <w:t xml:space="preserve"> Aboriginal and Torres Strait Islander women who had one or more children fell from 32% to 7.7%.</w:t>
      </w:r>
    </w:p>
    <w:p w14:paraId="3B8E8F4C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71C24C2" w14:textId="1EA93CD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3DBB11A0" w14:textId="2A9231FA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FDC2637" w14:textId="5E9BE10F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05FDCCBB" wp14:editId="14EAC97C">
            <wp:simplePos x="0" y="0"/>
            <wp:positionH relativeFrom="margin">
              <wp:posOffset>3257550</wp:posOffset>
            </wp:positionH>
            <wp:positionV relativeFrom="paragraph">
              <wp:posOffset>6562</wp:posOffset>
            </wp:positionV>
            <wp:extent cx="2786380" cy="19259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2BB2E406" w14:textId="3C500AB3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>Aboriginal families with children that are one-parent families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08E27E12" w14:textId="6EB54B29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740B1B61" w14:textId="574AA584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proportion of families with children that were headed by one parent rose slightly between 2006 and 2016, from 57% to 63%.</w:t>
      </w:r>
    </w:p>
    <w:p w14:paraId="7C053C4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FE6AAA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percentage of homes that were owned or being purchased by their Aboriginal and Torres Strait Islander occupants</w:t>
      </w:r>
      <w:r w:rsidRPr="00B54B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declined from 35% to 33% during the decade to 2016.</w:t>
      </w:r>
    </w:p>
    <w:p w14:paraId="7F2E1631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6165F4C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49C3AB66" wp14:editId="7293378D">
            <wp:simplePos x="0" y="0"/>
            <wp:positionH relativeFrom="column">
              <wp:posOffset>1905</wp:posOffset>
            </wp:positionH>
            <wp:positionV relativeFrom="paragraph">
              <wp:posOffset>65405</wp:posOffset>
            </wp:positionV>
            <wp:extent cx="2856230" cy="196532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2A613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54B9FAF9" w14:textId="77777777" w:rsidR="001F13FC" w:rsidRDefault="001F13FC" w:rsidP="001F13FC">
      <w:pPr>
        <w:jc w:val="both"/>
        <w:rPr>
          <w:rFonts w:ascii="Calibri" w:hAnsi="Calibri"/>
          <w:sz w:val="22"/>
          <w:szCs w:val="22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A01D9A">
        <w:rPr>
          <w:rFonts w:ascii="Calibri" w:hAnsi="Calibri"/>
          <w:color w:val="7F7F7F"/>
          <w:sz w:val="18"/>
          <w:szCs w:val="18"/>
        </w:rPr>
        <w:t>20-64 year-old</w:t>
      </w:r>
      <w:proofErr w:type="gramEnd"/>
      <w:r w:rsidRPr="00A01D9A">
        <w:rPr>
          <w:rFonts w:ascii="Calibri" w:hAnsi="Calibri"/>
          <w:color w:val="7F7F7F"/>
          <w:sz w:val="18"/>
          <w:szCs w:val="18"/>
        </w:rPr>
        <w:t xml:space="preserve"> </w:t>
      </w:r>
      <w:r>
        <w:rPr>
          <w:rFonts w:ascii="Calibri" w:hAnsi="Calibri"/>
          <w:color w:val="7F7F7F"/>
          <w:sz w:val="18"/>
          <w:szCs w:val="18"/>
        </w:rPr>
        <w:t>Aboriginal</w:t>
      </w:r>
      <w:r w:rsidRPr="00A01D9A">
        <w:rPr>
          <w:rFonts w:ascii="Calibri" w:hAnsi="Calibri"/>
          <w:color w:val="7F7F7F"/>
          <w:sz w:val="18"/>
          <w:szCs w:val="18"/>
        </w:rPr>
        <w:t xml:space="preserve"> residents with a severe or profound disability: Greater Dandenong, 2006 and 2016</w:t>
      </w:r>
    </w:p>
    <w:p w14:paraId="7DDDF4A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46FF8E7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prevalence of severe or profound disability among Aboriginal and Torres Strait Islanders rose from 7.1% of 20 to </w:t>
      </w:r>
      <w:proofErr w:type="gramStart"/>
      <w:r>
        <w:rPr>
          <w:rFonts w:ascii="Calibri" w:hAnsi="Calibri"/>
          <w:sz w:val="22"/>
          <w:szCs w:val="22"/>
        </w:rPr>
        <w:t>64 year-olds</w:t>
      </w:r>
      <w:proofErr w:type="gramEnd"/>
      <w:r>
        <w:rPr>
          <w:rFonts w:ascii="Calibri" w:hAnsi="Calibri"/>
          <w:sz w:val="22"/>
          <w:szCs w:val="22"/>
        </w:rPr>
        <w:t xml:space="preserve"> in 2006, to 12.1% by 2016.</w:t>
      </w:r>
    </w:p>
    <w:p w14:paraId="55098FB2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ADA9466" w14:textId="77777777" w:rsidR="001F13FC" w:rsidRPr="00811867" w:rsidRDefault="001F13FC" w:rsidP="001F13FC">
      <w:pPr>
        <w:spacing w:before="120" w:line="33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 xml:space="preserve">Victorian and National </w:t>
      </w:r>
      <w:r w:rsidRPr="00811867">
        <w:rPr>
          <w:rFonts w:ascii="Calibri" w:hAnsi="Calibri"/>
          <w:b/>
          <w:sz w:val="22"/>
          <w:szCs w:val="22"/>
        </w:rPr>
        <w:t>Health</w:t>
      </w:r>
      <w:r>
        <w:rPr>
          <w:rFonts w:ascii="Calibri" w:hAnsi="Calibri"/>
          <w:b/>
          <w:sz w:val="22"/>
          <w:szCs w:val="22"/>
        </w:rPr>
        <w:t xml:space="preserve"> and Social</w:t>
      </w:r>
      <w:r w:rsidRPr="00811867">
        <w:rPr>
          <w:rFonts w:ascii="Calibri" w:hAnsi="Calibri"/>
          <w:b/>
          <w:sz w:val="22"/>
          <w:szCs w:val="22"/>
        </w:rPr>
        <w:t xml:space="preserve"> Outcomes</w:t>
      </w:r>
    </w:p>
    <w:p w14:paraId="5E7C0D1B" w14:textId="77777777" w:rsidR="001F13FC" w:rsidRDefault="001F13FC" w:rsidP="001F13FC">
      <w:pPr>
        <w:spacing w:line="336" w:lineRule="auto"/>
        <w:jc w:val="both"/>
        <w:rPr>
          <w:rFonts w:ascii="Calibri" w:hAnsi="Calibri"/>
        </w:rPr>
      </w:pPr>
      <w:r w:rsidRPr="003D4528">
        <w:rPr>
          <w:rFonts w:ascii="Calibri" w:hAnsi="Calibri"/>
          <w:sz w:val="22"/>
          <w:szCs w:val="22"/>
        </w:rPr>
        <w:t xml:space="preserve">According to a range of measures, the general health of Aboriginal people across Victoria and Australia is less favorable than for people of non-Aboriginal backgrounds. Aboriginal people have higher rates of hospital admission than members of the general </w:t>
      </w:r>
      <w:proofErr w:type="gramStart"/>
      <w:r w:rsidRPr="003D4528">
        <w:rPr>
          <w:rFonts w:ascii="Calibri" w:hAnsi="Calibri"/>
          <w:sz w:val="22"/>
          <w:szCs w:val="22"/>
        </w:rPr>
        <w:t>population, and</w:t>
      </w:r>
      <w:proofErr w:type="gramEnd"/>
      <w:r w:rsidRPr="003D4528">
        <w:rPr>
          <w:rFonts w:ascii="Calibri" w:hAnsi="Calibri"/>
          <w:sz w:val="22"/>
          <w:szCs w:val="22"/>
        </w:rPr>
        <w:t xml:space="preserve"> are twice as likely to report their health as 'fair' or 'poor' (32% compared with 16%), according to the findings of the Victorian Population Health Survey. They have a life expectancy of approximately 10 to 12 years less than non-Aboriginal residents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3"/>
      </w:r>
      <w:r w:rsidRPr="003D4528">
        <w:rPr>
          <w:rFonts w:ascii="Calibri" w:hAnsi="Calibri"/>
          <w:sz w:val="22"/>
          <w:szCs w:val="22"/>
        </w:rPr>
        <w:t xml:space="preserve">, mortality rates twice those of non-Aboriginal people in all age groups, an infant mortality rate nearly three (2.9) times higher than other Australians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4"/>
      </w:r>
      <w:r w:rsidRPr="003D4528">
        <w:rPr>
          <w:rFonts w:ascii="Calibri" w:hAnsi="Calibri"/>
          <w:sz w:val="22"/>
          <w:szCs w:val="22"/>
        </w:rPr>
        <w:t xml:space="preserve">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5"/>
      </w:r>
      <w:r w:rsidRPr="003D4528">
        <w:rPr>
          <w:rFonts w:ascii="Calibri" w:hAnsi="Calibri"/>
          <w:sz w:val="22"/>
          <w:szCs w:val="22"/>
        </w:rPr>
        <w:t>, and a 2019 suicide rate over twice the overall national level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6"/>
      </w:r>
      <w:r w:rsidRPr="003D4528">
        <w:rPr>
          <w:rFonts w:ascii="Calibri" w:hAnsi="Calibri"/>
          <w:sz w:val="22"/>
          <w:szCs w:val="22"/>
        </w:rPr>
        <w:t>. In ‘Child Protection Australia 2014/15’, the Australian Institute of Health and Welfare reports that Aboriginal children are seven times more likely to be the subject of substantiated reports of child abuse than non-Aboriginal children (43.6 per 1,000 children compared with 6.4 per 1,000 respectively). Nationally, it is reported that Aboriginal women are hospitalized for violent assaults at a rate thirty-five times higher than for non-Aboriginal women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7"/>
      </w:r>
      <w:r w:rsidRPr="003D4528">
        <w:rPr>
          <w:rFonts w:ascii="Calibri" w:hAnsi="Calibri"/>
          <w:sz w:val="22"/>
          <w:szCs w:val="22"/>
        </w:rPr>
        <w:t xml:space="preserve"> In relation to drug-related problems, the Pennington Institute determined that the rate of unintentional drug overdoses among Aboriginal and Torres Strait Islanders was 19.2 per 100,000 population – over three times the corresponding rate among the general population</w:t>
      </w:r>
      <w:r>
        <w:rPr>
          <w:rFonts w:ascii="Calibri" w:hAnsi="Calibri"/>
        </w:rPr>
        <w:t>.</w:t>
      </w:r>
    </w:p>
    <w:p w14:paraId="580FAEFB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Compared with than non-Aboriginal people, A</w:t>
      </w:r>
      <w:r w:rsidRPr="00CF441D">
        <w:rPr>
          <w:rFonts w:ascii="Calibri" w:hAnsi="Calibri"/>
          <w:sz w:val="22"/>
          <w:szCs w:val="22"/>
        </w:rPr>
        <w:t>boriginal and Torres</w:t>
      </w:r>
      <w:r>
        <w:rPr>
          <w:rFonts w:ascii="Calibri" w:hAnsi="Calibri"/>
          <w:sz w:val="22"/>
          <w:szCs w:val="22"/>
        </w:rPr>
        <w:t xml:space="preserve"> Strait Islander people aged 15+</w:t>
      </w:r>
      <w:r w:rsidRPr="00CF441D">
        <w:rPr>
          <w:rFonts w:ascii="Calibri" w:hAnsi="Calibri"/>
          <w:sz w:val="22"/>
          <w:szCs w:val="22"/>
        </w:rPr>
        <w:t xml:space="preserve"> were:</w:t>
      </w:r>
    </w:p>
    <w:p w14:paraId="6CB8BBC8" w14:textId="77777777" w:rsidR="001F13FC" w:rsidRPr="00CF441D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608D761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1.4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</w:t>
      </w:r>
      <w:r>
        <w:rPr>
          <w:rFonts w:ascii="Calibri" w:hAnsi="Calibri"/>
          <w:sz w:val="22"/>
          <w:szCs w:val="22"/>
        </w:rPr>
        <w:t>family or personal stressors</w:t>
      </w:r>
      <w:r w:rsidRPr="00CF441D">
        <w:rPr>
          <w:rFonts w:ascii="Calibri" w:hAnsi="Calibri"/>
          <w:sz w:val="22"/>
          <w:szCs w:val="22"/>
        </w:rPr>
        <w:t xml:space="preserve"> </w:t>
      </w:r>
    </w:p>
    <w:p w14:paraId="1C3B511F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2.7</w:t>
      </w:r>
      <w:r w:rsidRPr="00CF441D">
        <w:rPr>
          <w:rFonts w:ascii="Calibri" w:hAnsi="Calibri"/>
          <w:sz w:val="22"/>
          <w:szCs w:val="22"/>
        </w:rPr>
        <w:t xml:space="preserve">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high/very high levels of psychological distress</w:t>
      </w:r>
    </w:p>
    <w:p w14:paraId="2AA3E489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6C83202D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3.3 times more likely to have diabetes/high sugar levels </w:t>
      </w:r>
    </w:p>
    <w:p w14:paraId="7D765854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 xml:space="preserve">3.7 times more likely </w:t>
      </w:r>
      <w:r w:rsidRPr="00CF441D">
        <w:rPr>
          <w:rFonts w:ascii="Calibri" w:hAnsi="Calibri"/>
          <w:sz w:val="22"/>
          <w:szCs w:val="22"/>
        </w:rPr>
        <w:t xml:space="preserve">to have kidney disease </w:t>
      </w:r>
      <w:r>
        <w:rPr>
          <w:rFonts w:ascii="Calibri" w:hAnsi="Calibri"/>
          <w:sz w:val="22"/>
          <w:szCs w:val="22"/>
        </w:rPr>
        <w:t xml:space="preserve"> </w:t>
      </w:r>
    </w:p>
    <w:p w14:paraId="402783A1" w14:textId="77777777" w:rsidR="001F13FC" w:rsidRPr="003D60C9" w:rsidRDefault="001F13FC" w:rsidP="001F13FC">
      <w:pPr>
        <w:spacing w:after="120"/>
        <w:jc w:val="both"/>
        <w:rPr>
          <w:rFonts w:ascii="Calibri" w:hAnsi="Calibri"/>
          <w:sz w:val="10"/>
          <w:szCs w:val="10"/>
        </w:rPr>
      </w:pPr>
    </w:p>
    <w:p w14:paraId="46F18DBB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1.2 times more likely to have heart or circulatory diseases</w:t>
      </w:r>
    </w:p>
    <w:p w14:paraId="3BD71B65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>1.3 times more</w:t>
      </w:r>
      <w:r w:rsidRPr="00CF441D">
        <w:rPr>
          <w:rFonts w:ascii="Calibri" w:hAnsi="Calibri"/>
          <w:sz w:val="22"/>
          <w:szCs w:val="22"/>
        </w:rPr>
        <w:t xml:space="preserve"> likely to have diseases of the ear or hearing problems</w:t>
      </w:r>
    </w:p>
    <w:p w14:paraId="4642D113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0C5BA883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1.5 times as likely to be obese</w:t>
      </w:r>
    </w:p>
    <w:p w14:paraId="335C5E91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2.6 times as likely as to be current daily smokers.</w:t>
      </w:r>
    </w:p>
    <w:p w14:paraId="79A4A442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3C3E7209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1.1 </w:t>
      </w:r>
      <w:r w:rsidRPr="00CF441D">
        <w:rPr>
          <w:rFonts w:ascii="Calibri" w:hAnsi="Calibri"/>
          <w:sz w:val="22"/>
          <w:szCs w:val="22"/>
        </w:rPr>
        <w:t xml:space="preserve">times more likely to have been sedentary or exercising at low intensity </w:t>
      </w:r>
    </w:p>
    <w:p w14:paraId="42A99910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0.6</w:t>
      </w:r>
      <w:r w:rsidRPr="00CF441D">
        <w:rPr>
          <w:rFonts w:ascii="Calibri" w:hAnsi="Calibri"/>
          <w:sz w:val="22"/>
          <w:szCs w:val="22"/>
        </w:rPr>
        <w:t xml:space="preserve"> as likely to have been exercising at high intensity </w:t>
      </w:r>
    </w:p>
    <w:p w14:paraId="7F61D3D3" w14:textId="77777777" w:rsidR="001F13F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67083DC3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subject to an infant mortality rate approximately twice the national level (6.2 infant deaths per 1,000 live births compared with 3.3 among the general population, in 2017) </w:t>
      </w:r>
    </w:p>
    <w:p w14:paraId="42364246" w14:textId="77777777" w:rsidR="001F13FC" w:rsidRPr="005A697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36994881" w14:textId="77777777" w:rsidR="001F13FC" w:rsidRPr="005A697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had a national suicide rate in 2019 of 27.1 per 100,000 persons – more than twice the rate among non-Aboriginal persons, of 12.9 per 100,000.</w:t>
      </w:r>
    </w:p>
    <w:p w14:paraId="317F44DF" w14:textId="572C061E" w:rsidR="001F13FC" w:rsidRDefault="001F13FC" w:rsidP="001F13FC">
      <w:pPr>
        <w:rPr>
          <w:b/>
        </w:rPr>
      </w:pPr>
    </w:p>
    <w:sectPr w:rsidR="001F13FC" w:rsidSect="000803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3384" w14:textId="77777777" w:rsidR="005848CB" w:rsidRDefault="005848CB" w:rsidP="00080348">
      <w:r>
        <w:separator/>
      </w:r>
    </w:p>
  </w:endnote>
  <w:endnote w:type="continuationSeparator" w:id="0">
    <w:p w14:paraId="71A1768F" w14:textId="77777777" w:rsidR="005848CB" w:rsidRDefault="005848CB" w:rsidP="000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8709" w14:textId="77777777" w:rsidR="005848CB" w:rsidRDefault="005848CB" w:rsidP="00080348">
      <w:r>
        <w:separator/>
      </w:r>
    </w:p>
  </w:footnote>
  <w:footnote w:type="continuationSeparator" w:id="0">
    <w:p w14:paraId="72172033" w14:textId="77777777" w:rsidR="005848CB" w:rsidRDefault="005848CB" w:rsidP="00080348">
      <w:r>
        <w:continuationSeparator/>
      </w:r>
    </w:p>
  </w:footnote>
  <w:footnote w:id="1">
    <w:p w14:paraId="14C711B7" w14:textId="77777777" w:rsidR="001F13FC" w:rsidRPr="00274C23" w:rsidRDefault="001F13FC" w:rsidP="001F13F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  <w:szCs w:val="14"/>
          <w:lang w:val="en-AU"/>
        </w:rPr>
        <w:t>The municipality</w:t>
      </w:r>
      <w:r w:rsidRPr="00274C23">
        <w:rPr>
          <w:sz w:val="14"/>
          <w:szCs w:val="14"/>
          <w:lang w:val="en-AU"/>
        </w:rPr>
        <w:t xml:space="preserve"> of Greater Dandenong and the adjoining municipalities of Casey, Frankston, Kingston, Knox and Monash.</w:t>
      </w:r>
    </w:p>
  </w:footnote>
  <w:footnote w:id="2">
    <w:p w14:paraId="33FF45C4" w14:textId="77777777" w:rsidR="001F13FC" w:rsidRPr="0052137F" w:rsidRDefault="001F13FC" w:rsidP="001F13FC">
      <w:pPr>
        <w:pStyle w:val="FootnoteText"/>
        <w:rPr>
          <w:sz w:val="16"/>
          <w:szCs w:val="16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2137F">
        <w:rPr>
          <w:sz w:val="16"/>
          <w:szCs w:val="16"/>
          <w:lang w:val="en-AU"/>
        </w:rPr>
        <w:t>These were physical, emotional, social, language and communication.</w:t>
      </w:r>
    </w:p>
  </w:footnote>
  <w:footnote w:id="3">
    <w:p w14:paraId="63243117" w14:textId="77777777" w:rsidR="001F13FC" w:rsidRPr="007D3AC4" w:rsidRDefault="001F13FC" w:rsidP="001F13FC">
      <w:pPr>
        <w:pStyle w:val="FootnoteText"/>
        <w:spacing w:after="0" w:line="240" w:lineRule="auto"/>
        <w:jc w:val="both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  <w:footnote w:id="4">
    <w:p w14:paraId="7E7C24BB" w14:textId="77777777" w:rsidR="001F13FC" w:rsidRPr="00D03CE8" w:rsidRDefault="001F13FC" w:rsidP="001F13F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Australian Institute of Health and Welfare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Australia's Health 2012 - Summary of Findings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Institute of Health and Welfare, Canberra</w:t>
      </w:r>
    </w:p>
  </w:footnote>
  <w:footnote w:id="5">
    <w:p w14:paraId="7B9A10E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Edith Cowan University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Overview of Australian Indigenous Health Status, 2011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Dept. Health and Ageing, Canberra</w:t>
      </w:r>
    </w:p>
  </w:footnote>
  <w:footnote w:id="6">
    <w:p w14:paraId="6087F24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sz w:val="14"/>
          <w:szCs w:val="14"/>
        </w:rPr>
        <w:t>Australian Bureau of Statistics (2019). Causes of Death Australia, 2018</w:t>
      </w:r>
    </w:p>
  </w:footnote>
  <w:footnote w:id="7">
    <w:p w14:paraId="5A6708E0" w14:textId="77777777" w:rsidR="001F13FC" w:rsidRPr="00FA1B00" w:rsidRDefault="001F13FC" w:rsidP="001F13FC">
      <w:pPr>
        <w:pStyle w:val="FootnoteText"/>
        <w:spacing w:after="0" w:line="240" w:lineRule="auto"/>
        <w:rPr>
          <w:sz w:val="14"/>
          <w:szCs w:val="14"/>
          <w:lang w:val="en-GB"/>
        </w:rPr>
      </w:pPr>
      <w:r w:rsidRPr="00FA1B00">
        <w:rPr>
          <w:rStyle w:val="FootnoteReference"/>
          <w:sz w:val="14"/>
          <w:szCs w:val="14"/>
        </w:rPr>
        <w:footnoteRef/>
      </w:r>
      <w:r w:rsidRPr="00FA1B00">
        <w:rPr>
          <w:sz w:val="14"/>
          <w:szCs w:val="14"/>
        </w:rPr>
        <w:t xml:space="preserve"> 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FA1B00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1B7"/>
    <w:multiLevelType w:val="hybridMultilevel"/>
    <w:tmpl w:val="2BEA3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8"/>
    <w:rsid w:val="0002271A"/>
    <w:rsid w:val="000526CD"/>
    <w:rsid w:val="00053DCC"/>
    <w:rsid w:val="00071BA2"/>
    <w:rsid w:val="00071DEF"/>
    <w:rsid w:val="000767DC"/>
    <w:rsid w:val="00080348"/>
    <w:rsid w:val="00083968"/>
    <w:rsid w:val="00091374"/>
    <w:rsid w:val="000919A6"/>
    <w:rsid w:val="000E2FD2"/>
    <w:rsid w:val="000F2C17"/>
    <w:rsid w:val="00145ABD"/>
    <w:rsid w:val="001A4D74"/>
    <w:rsid w:val="001E2820"/>
    <w:rsid w:val="001F13FC"/>
    <w:rsid w:val="002062A3"/>
    <w:rsid w:val="00257720"/>
    <w:rsid w:val="002577D3"/>
    <w:rsid w:val="00274C23"/>
    <w:rsid w:val="00287524"/>
    <w:rsid w:val="003562F6"/>
    <w:rsid w:val="003916D2"/>
    <w:rsid w:val="003D60C9"/>
    <w:rsid w:val="003F2652"/>
    <w:rsid w:val="00407390"/>
    <w:rsid w:val="00423DF4"/>
    <w:rsid w:val="00441604"/>
    <w:rsid w:val="00473BE9"/>
    <w:rsid w:val="004744F5"/>
    <w:rsid w:val="004A14FD"/>
    <w:rsid w:val="0052137F"/>
    <w:rsid w:val="00540DA3"/>
    <w:rsid w:val="005617FC"/>
    <w:rsid w:val="00572C2B"/>
    <w:rsid w:val="0057363A"/>
    <w:rsid w:val="005848CB"/>
    <w:rsid w:val="0059548B"/>
    <w:rsid w:val="005A697C"/>
    <w:rsid w:val="0061577E"/>
    <w:rsid w:val="006437A8"/>
    <w:rsid w:val="00643D56"/>
    <w:rsid w:val="0065264F"/>
    <w:rsid w:val="006535D0"/>
    <w:rsid w:val="0067755C"/>
    <w:rsid w:val="006A38AB"/>
    <w:rsid w:val="006A5786"/>
    <w:rsid w:val="006E2E0C"/>
    <w:rsid w:val="00724A0A"/>
    <w:rsid w:val="00782A32"/>
    <w:rsid w:val="007A3581"/>
    <w:rsid w:val="007B25D6"/>
    <w:rsid w:val="007D3AC4"/>
    <w:rsid w:val="007F18E0"/>
    <w:rsid w:val="007F6CC6"/>
    <w:rsid w:val="0080791E"/>
    <w:rsid w:val="00811867"/>
    <w:rsid w:val="008203B9"/>
    <w:rsid w:val="00843339"/>
    <w:rsid w:val="00867791"/>
    <w:rsid w:val="008D255E"/>
    <w:rsid w:val="00954D8D"/>
    <w:rsid w:val="0098782B"/>
    <w:rsid w:val="00A01D9A"/>
    <w:rsid w:val="00A5515E"/>
    <w:rsid w:val="00A55E3F"/>
    <w:rsid w:val="00AA0220"/>
    <w:rsid w:val="00AB486E"/>
    <w:rsid w:val="00AC1821"/>
    <w:rsid w:val="00AF3580"/>
    <w:rsid w:val="00B243D6"/>
    <w:rsid w:val="00B54BAE"/>
    <w:rsid w:val="00B8051D"/>
    <w:rsid w:val="00B95F70"/>
    <w:rsid w:val="00BA6095"/>
    <w:rsid w:val="00C20BD1"/>
    <w:rsid w:val="00C23BCF"/>
    <w:rsid w:val="00C368AF"/>
    <w:rsid w:val="00C71212"/>
    <w:rsid w:val="00CA75EA"/>
    <w:rsid w:val="00CD3DDF"/>
    <w:rsid w:val="00CF207A"/>
    <w:rsid w:val="00CF441D"/>
    <w:rsid w:val="00D03334"/>
    <w:rsid w:val="00D31763"/>
    <w:rsid w:val="00D44DB5"/>
    <w:rsid w:val="00DB7E3A"/>
    <w:rsid w:val="00E76971"/>
    <w:rsid w:val="00E83D59"/>
    <w:rsid w:val="00E93961"/>
    <w:rsid w:val="00E96206"/>
    <w:rsid w:val="00E9667C"/>
    <w:rsid w:val="00EA2D29"/>
    <w:rsid w:val="00F04CB7"/>
    <w:rsid w:val="00F207F1"/>
    <w:rsid w:val="00F50F79"/>
    <w:rsid w:val="00F61E8F"/>
    <w:rsid w:val="00F65796"/>
    <w:rsid w:val="00F77EA4"/>
    <w:rsid w:val="00F9215B"/>
    <w:rsid w:val="00FA5FF9"/>
    <w:rsid w:val="00FB23B1"/>
    <w:rsid w:val="00FC10B3"/>
    <w:rsid w:val="00FD6604"/>
    <w:rsid w:val="00FD7549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B88FF6"/>
  <w15:docId w15:val="{4BF2EC0C-2306-4E34-B454-0100AF6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03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803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3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0348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34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6A3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41D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7.jpeg" Id="rId15" /><Relationship Type="http://schemas.openxmlformats.org/officeDocument/2006/relationships/image" Target="media/image2.jpeg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customXml" Target="/customXml/item3.xml" Id="Rc7364630b0b04b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9676E22B47CC48CBA49BA16071DCFF24" version="1.0.0">
  <systemFields>
    <field name="Objective-Id">
      <value order="0">A6819542</value>
    </field>
    <field name="Objective-Title">
      <value order="0">L Indigenous Residents</value>
    </field>
    <field name="Objective-Description">
      <value order="0"/>
    </field>
    <field name="Objective-CreationStamp">
      <value order="0">2020-08-30T21:38:05Z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2021-04-23T02:46:01Z</value>
    </field>
    <field name="Objective-ModificationStamp">
      <value order="0">2021-04-23T02:46:01Z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vA9844432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EA5978FB-7E1B-4EC4-BAF7-A47F8E86BF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hbrown</dc:creator>
  <cp:lastModifiedBy>Hayden Brown</cp:lastModifiedBy>
  <cp:revision>3</cp:revision>
  <cp:lastPrinted>2017-08-20T21:21:00Z</cp:lastPrinted>
  <dcterms:created xsi:type="dcterms:W3CDTF">2020-08-23T12:29:00Z</dcterms:created>
  <dcterms:modified xsi:type="dcterms:W3CDTF">2021-04-23T02:45:00Z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9676E22B47CC48CBA49BA16071DCFF24</vt:lpwstr>
  </op:property>
  <op:property fmtid="{D5CDD505-2E9C-101B-9397-08002B2CF9AE}" pid="5" name="Objective-Id">
    <vt:lpwstr>A6819542</vt:lpwstr>
  </op:property>
  <op:property fmtid="{D5CDD505-2E9C-101B-9397-08002B2CF9AE}" pid="6" name="Objective-Title">
    <vt:lpwstr>L Indigenous Residents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2020-08-30T21:38:05Z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2021-04-23T02:46:01Z</vt:filetime>
  </op:property>
  <op:property fmtid="{D5CDD505-2E9C-101B-9397-08002B2CF9AE}" pid="12" name="Objective-ModificationStamp">
    <vt:filetime>2021-04-23T02:46:01Z</vt:filetime>
  </op:property>
  <op:property fmtid="{D5CDD505-2E9C-101B-9397-08002B2CF9AE}" pid="13" name="Objective-Owner">
    <vt:lpwstr>Fran McKechnie</vt:lpwstr>
  </op:property>
  <op:property fmtid="{D5CDD505-2E9C-101B-9397-08002B2CF9AE}" pid="14" name="Objective-Path">
    <vt:lpwstr>Classified Object:Classified Object:Classified Object:Classified Object:Webpage Stats A Summaries of Social Information</vt:lpwstr>
  </op:property>
  <op:property fmtid="{D5CDD505-2E9C-101B-9397-08002B2CF9AE}" pid="15" name="Objective-Parent">
    <vt:lpwstr>Webpage Stats A Summaries of Social Information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vA9844432</vt:lpwstr>
  </op:property>
  <op:property fmtid="{D5CDD505-2E9C-101B-9397-08002B2CF9AE}" pid="18" name="Objective-Version">
    <vt:lpwstr>2.0</vt:lpwstr>
  </op:property>
  <op:property fmtid="{D5CDD505-2E9C-101B-9397-08002B2CF9AE}" pid="19" name="Objective-VersionNumber">
    <vt:r8>2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qA1096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Business Unit">
    <vt:lpwstr>Community Development</vt:lpwstr>
  </op:property>
  <op:property fmtid="{D5CDD505-2E9C-101B-9397-08002B2CF9AE}" pid="25" name="Objective-Corporate Document Type">
    <vt:lpwstr/>
  </op:property>
  <op:property fmtid="{D5CDD505-2E9C-101B-9397-08002B2CF9AE}" pid="26" name="Objective-Records Audit Vital Record">
    <vt:lpwstr/>
  </op:property>
  <op:property fmtid="{D5CDD505-2E9C-101B-9397-08002B2CF9AE}" pid="27" name="Objective-Records Audit Date">
    <vt:lpwstr/>
  </op:property>
  <op:property fmtid="{D5CDD505-2E9C-101B-9397-08002B2CF9AE}" pid="28" name="Objective-Connect Creator">
    <vt:lpwstr/>
  </op:property>
  <op:property fmtid="{D5CDD505-2E9C-101B-9397-08002B2CF9AE}" pid="29" name="Objective-Bulk Update Status">
    <vt:lpwstr/>
  </op:property>
</op:Properties>
</file>