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30306" w14:textId="77777777" w:rsidR="008E3AA6" w:rsidRPr="003740B8" w:rsidRDefault="008E3AA6" w:rsidP="008E3AA6">
      <w:pPr>
        <w:pBdr>
          <w:top w:val="single" w:sz="4" w:space="1" w:color="auto"/>
          <w:bottom w:val="single" w:sz="4" w:space="1" w:color="auto"/>
        </w:pBdr>
        <w:tabs>
          <w:tab w:val="center" w:pos="4678"/>
        </w:tabs>
        <w:rPr>
          <w:rFonts w:ascii="Calibri" w:hAnsi="Calibri"/>
          <w:sz w:val="32"/>
          <w:szCs w:val="32"/>
        </w:rPr>
      </w:pPr>
      <w:r w:rsidRPr="003740B8">
        <w:rPr>
          <w:rFonts w:ascii="Calibri" w:hAnsi="Calibri"/>
          <w:b/>
          <w:noProof/>
          <w:sz w:val="32"/>
          <w:szCs w:val="32"/>
        </w:rPr>
        <w:tab/>
      </w:r>
      <w:r w:rsidRPr="003740B8">
        <w:rPr>
          <w:rFonts w:ascii="Calibri" w:hAnsi="Calibri"/>
          <w:noProof/>
          <w:sz w:val="32"/>
          <w:szCs w:val="32"/>
        </w:rPr>
        <w:t>Education</w:t>
      </w:r>
      <w:r>
        <w:rPr>
          <w:rFonts w:ascii="Calibri" w:hAnsi="Calibri"/>
          <w:noProof/>
          <w:sz w:val="32"/>
          <w:szCs w:val="32"/>
        </w:rPr>
        <w:t>al Outcomes</w:t>
      </w:r>
    </w:p>
    <w:p w14:paraId="0127DFB7" w14:textId="77777777" w:rsidR="008E3AA6" w:rsidRDefault="008E3AA6" w:rsidP="008E3AA6">
      <w:pPr>
        <w:tabs>
          <w:tab w:val="left" w:pos="284"/>
        </w:tabs>
        <w:jc w:val="both"/>
        <w:rPr>
          <w:sz w:val="10"/>
          <w:szCs w:val="10"/>
        </w:rPr>
      </w:pPr>
    </w:p>
    <w:p w14:paraId="71BE1D8F" w14:textId="77777777" w:rsidR="008E3AA6" w:rsidRDefault="008E3AA6" w:rsidP="008E3AA6">
      <w:pPr>
        <w:tabs>
          <w:tab w:val="left" w:pos="284"/>
        </w:tabs>
        <w:jc w:val="both"/>
        <w:rPr>
          <w:sz w:val="10"/>
          <w:szCs w:val="10"/>
        </w:rPr>
      </w:pPr>
    </w:p>
    <w:p w14:paraId="2580EBFE" w14:textId="77777777" w:rsidR="008E3AA6" w:rsidRDefault="008E3AA6" w:rsidP="008E3AA6">
      <w:pPr>
        <w:tabs>
          <w:tab w:val="left" w:pos="284"/>
        </w:tabs>
        <w:spacing w:line="360" w:lineRule="auto"/>
        <w:jc w:val="both"/>
        <w:rPr>
          <w:rFonts w:ascii="Calibri" w:hAnsi="Calibri"/>
          <w:b/>
          <w:color w:val="000000"/>
          <w:sz w:val="22"/>
          <w:szCs w:val="22"/>
        </w:rPr>
      </w:pPr>
      <w:r>
        <w:rPr>
          <w:noProof/>
          <w:lang w:val="en-AU" w:eastAsia="en-AU"/>
        </w:rPr>
        <w:drawing>
          <wp:anchor distT="140208" distB="336296" distL="242316" distR="464566" simplePos="0" relativeHeight="251661312" behindDoc="1" locked="0" layoutInCell="1" allowOverlap="1" wp14:anchorId="0FD2B53C" wp14:editId="217F78CB">
            <wp:simplePos x="0" y="0"/>
            <wp:positionH relativeFrom="column">
              <wp:posOffset>4362767</wp:posOffset>
            </wp:positionH>
            <wp:positionV relativeFrom="paragraph">
              <wp:posOffset>67628</wp:posOffset>
            </wp:positionV>
            <wp:extent cx="1880235" cy="1437005"/>
            <wp:effectExtent l="0" t="0" r="5715" b="0"/>
            <wp:wrapTight wrapText="bothSides">
              <wp:wrapPolygon edited="0">
                <wp:start x="875" y="0"/>
                <wp:lineTo x="0" y="573"/>
                <wp:lineTo x="0" y="20903"/>
                <wp:lineTo x="875" y="21190"/>
                <wp:lineTo x="20571" y="21190"/>
                <wp:lineTo x="21447" y="20903"/>
                <wp:lineTo x="21447" y="573"/>
                <wp:lineTo x="20571" y="0"/>
                <wp:lineTo x="875" y="0"/>
              </wp:wrapPolygon>
            </wp:wrapTight>
            <wp:docPr id="43" name="Picture 21" descr="Picture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Picture 21" descr="Picture22"/>
                    <pic:cNvPicPr>
                      <a:picLocks noChangeAspect="1" noChangeArrowheads="1"/>
                    </pic:cNvPicPr>
                  </pic:nvPicPr>
                  <pic:blipFill>
                    <a:blip r:embed="rId6" cstate="print"/>
                    <a:srcRect/>
                    <a:stretch>
                      <a:fillRect/>
                    </a:stretch>
                  </pic:blipFill>
                  <pic:spPr bwMode="auto">
                    <a:xfrm>
                      <a:off x="0" y="0"/>
                      <a:ext cx="1880235" cy="14370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Young people in Greater Dandenong experience less favorable early school development, leave school earlier, less often attend university, are more often disengaged from employment and education, and are more likely to be unemployed later in life, than those throughout Melbourne.</w:t>
      </w:r>
      <w:r w:rsidRPr="00E2314F">
        <w:rPr>
          <w:rFonts w:ascii="Calibri" w:hAnsi="Calibri"/>
          <w:b/>
          <w:color w:val="000000"/>
          <w:sz w:val="22"/>
          <w:szCs w:val="22"/>
        </w:rPr>
        <w:t xml:space="preserve"> </w:t>
      </w:r>
    </w:p>
    <w:p w14:paraId="5DEA23A6" w14:textId="77777777" w:rsidR="008E3AA6" w:rsidRDefault="008E3AA6" w:rsidP="008E3AA6">
      <w:pPr>
        <w:tabs>
          <w:tab w:val="left" w:pos="284"/>
        </w:tabs>
        <w:spacing w:line="360" w:lineRule="auto"/>
        <w:jc w:val="both"/>
        <w:rPr>
          <w:rFonts w:ascii="Calibri" w:hAnsi="Calibri"/>
          <w:b/>
          <w:color w:val="000000"/>
          <w:sz w:val="22"/>
          <w:szCs w:val="22"/>
        </w:rPr>
      </w:pPr>
    </w:p>
    <w:p w14:paraId="7A666FDE" w14:textId="77777777" w:rsidR="008E3AA6" w:rsidRPr="00E2314F" w:rsidRDefault="008E3AA6" w:rsidP="008E3AA6">
      <w:pPr>
        <w:tabs>
          <w:tab w:val="left" w:pos="284"/>
        </w:tabs>
        <w:spacing w:line="360" w:lineRule="auto"/>
        <w:jc w:val="both"/>
        <w:rPr>
          <w:rFonts w:ascii="Calibri" w:hAnsi="Calibri"/>
          <w:b/>
          <w:color w:val="000000"/>
          <w:sz w:val="22"/>
          <w:szCs w:val="22"/>
        </w:rPr>
      </w:pPr>
      <w:r w:rsidRPr="00E2314F">
        <w:rPr>
          <w:rFonts w:ascii="Calibri" w:hAnsi="Calibri"/>
          <w:b/>
          <w:color w:val="000000"/>
          <w:sz w:val="22"/>
          <w:szCs w:val="22"/>
        </w:rPr>
        <w:t>Early Childhood Progress</w:t>
      </w:r>
    </w:p>
    <w:p w14:paraId="46DE8C50" w14:textId="77777777" w:rsidR="008E3AA6" w:rsidRPr="00E2314F" w:rsidRDefault="008E3AA6" w:rsidP="008E3AA6">
      <w:pPr>
        <w:spacing w:line="360" w:lineRule="auto"/>
        <w:jc w:val="both"/>
        <w:rPr>
          <w:rFonts w:ascii="Calibri" w:hAnsi="Calibri"/>
          <w:sz w:val="22"/>
          <w:szCs w:val="22"/>
        </w:rPr>
      </w:pPr>
      <w:r w:rsidRPr="00E2314F">
        <w:rPr>
          <w:rFonts w:ascii="Calibri" w:hAnsi="Calibri"/>
          <w:sz w:val="22"/>
          <w:szCs w:val="22"/>
        </w:rPr>
        <w:t xml:space="preserve">The Australian Early Development </w:t>
      </w:r>
      <w:r>
        <w:rPr>
          <w:rFonts w:ascii="Calibri" w:hAnsi="Calibri"/>
          <w:sz w:val="22"/>
          <w:szCs w:val="22"/>
        </w:rPr>
        <w:t>Census</w:t>
      </w:r>
      <w:r w:rsidRPr="00E2314F">
        <w:rPr>
          <w:rFonts w:ascii="Calibri" w:hAnsi="Calibri"/>
          <w:sz w:val="22"/>
          <w:szCs w:val="22"/>
        </w:rPr>
        <w:t xml:space="preserve"> (AED</w:t>
      </w:r>
      <w:r>
        <w:rPr>
          <w:rFonts w:ascii="Calibri" w:hAnsi="Calibri"/>
          <w:sz w:val="22"/>
          <w:szCs w:val="22"/>
        </w:rPr>
        <w:t>C)</w:t>
      </w:r>
      <w:r w:rsidRPr="00E2314F">
        <w:rPr>
          <w:rFonts w:ascii="Calibri" w:hAnsi="Calibri"/>
          <w:sz w:val="22"/>
          <w:szCs w:val="22"/>
        </w:rPr>
        <w:t xml:space="preserve"> </w:t>
      </w:r>
      <w:r>
        <w:rPr>
          <w:rFonts w:ascii="Calibri" w:hAnsi="Calibri"/>
          <w:sz w:val="22"/>
          <w:szCs w:val="22"/>
        </w:rPr>
        <w:t>measures</w:t>
      </w:r>
      <w:r w:rsidRPr="00E2314F">
        <w:rPr>
          <w:rFonts w:ascii="Calibri" w:hAnsi="Calibri"/>
          <w:sz w:val="22"/>
          <w:szCs w:val="22"/>
        </w:rPr>
        <w:t xml:space="preserve"> </w:t>
      </w:r>
      <w:r>
        <w:rPr>
          <w:rFonts w:ascii="Calibri" w:hAnsi="Calibri"/>
          <w:sz w:val="22"/>
          <w:szCs w:val="22"/>
        </w:rPr>
        <w:t xml:space="preserve">the </w:t>
      </w:r>
      <w:r w:rsidRPr="00E2314F">
        <w:rPr>
          <w:rFonts w:ascii="Calibri" w:hAnsi="Calibri"/>
          <w:sz w:val="22"/>
          <w:szCs w:val="22"/>
        </w:rPr>
        <w:t xml:space="preserve">progress of all </w:t>
      </w:r>
      <w:r>
        <w:rPr>
          <w:rFonts w:ascii="Calibri" w:hAnsi="Calibri"/>
          <w:sz w:val="22"/>
          <w:szCs w:val="22"/>
        </w:rPr>
        <w:t>pupils in their first year of school</w:t>
      </w:r>
      <w:r w:rsidRPr="00E2314F">
        <w:rPr>
          <w:rFonts w:ascii="Calibri" w:hAnsi="Calibri"/>
          <w:sz w:val="22"/>
          <w:szCs w:val="22"/>
        </w:rPr>
        <w:t xml:space="preserve"> </w:t>
      </w:r>
      <w:r>
        <w:rPr>
          <w:rFonts w:ascii="Calibri" w:hAnsi="Calibri"/>
          <w:sz w:val="22"/>
          <w:szCs w:val="22"/>
        </w:rPr>
        <w:t>across</w:t>
      </w:r>
      <w:r w:rsidRPr="00E2314F">
        <w:rPr>
          <w:rFonts w:ascii="Calibri" w:hAnsi="Calibri"/>
          <w:sz w:val="22"/>
          <w:szCs w:val="22"/>
        </w:rPr>
        <w:t xml:space="preserve"> Australia, in five </w:t>
      </w:r>
      <w:r>
        <w:rPr>
          <w:rFonts w:ascii="Calibri" w:hAnsi="Calibri"/>
          <w:sz w:val="22"/>
          <w:szCs w:val="22"/>
        </w:rPr>
        <w:t>domains</w:t>
      </w:r>
      <w:r w:rsidRPr="00E2314F">
        <w:rPr>
          <w:rFonts w:ascii="Calibri" w:hAnsi="Calibri"/>
          <w:sz w:val="22"/>
          <w:szCs w:val="22"/>
        </w:rPr>
        <w:t xml:space="preserve"> of development: physical, social, emotional, </w:t>
      </w:r>
      <w:r>
        <w:rPr>
          <w:rFonts w:ascii="Calibri" w:hAnsi="Calibri"/>
          <w:sz w:val="22"/>
          <w:szCs w:val="22"/>
        </w:rPr>
        <w:t>l</w:t>
      </w:r>
      <w:r w:rsidRPr="00E2314F">
        <w:rPr>
          <w:rFonts w:ascii="Calibri" w:hAnsi="Calibri"/>
          <w:sz w:val="22"/>
          <w:szCs w:val="22"/>
        </w:rPr>
        <w:t>anguage and cognitive</w:t>
      </w:r>
      <w:r>
        <w:rPr>
          <w:rFonts w:ascii="Calibri" w:hAnsi="Calibri"/>
          <w:sz w:val="22"/>
          <w:szCs w:val="22"/>
        </w:rPr>
        <w:t>,</w:t>
      </w:r>
      <w:r w:rsidRPr="00E2314F">
        <w:rPr>
          <w:rFonts w:ascii="Calibri" w:hAnsi="Calibri"/>
          <w:sz w:val="22"/>
          <w:szCs w:val="22"/>
        </w:rPr>
        <w:t xml:space="preserve"> and communication and general knowledge. </w:t>
      </w:r>
    </w:p>
    <w:p w14:paraId="62B9ABDB" w14:textId="77777777" w:rsidR="008E3AA6" w:rsidRDefault="008E3AA6" w:rsidP="008E3AA6">
      <w:pPr>
        <w:spacing w:line="360" w:lineRule="auto"/>
        <w:jc w:val="both"/>
        <w:rPr>
          <w:rFonts w:ascii="Calibri" w:hAnsi="Calibri"/>
          <w:sz w:val="22"/>
          <w:szCs w:val="22"/>
        </w:rPr>
      </w:pPr>
      <w:r w:rsidRPr="00E2314F">
        <w:rPr>
          <w:rFonts w:ascii="Calibri" w:hAnsi="Calibri"/>
          <w:sz w:val="22"/>
          <w:szCs w:val="22"/>
        </w:rPr>
        <w:t>The</w:t>
      </w:r>
      <w:r>
        <w:rPr>
          <w:rFonts w:ascii="Calibri" w:hAnsi="Calibri"/>
          <w:sz w:val="22"/>
          <w:szCs w:val="22"/>
        </w:rPr>
        <w:t xml:space="preserve"> 2018</w:t>
      </w:r>
      <w:r w:rsidRPr="00E2314F">
        <w:rPr>
          <w:rFonts w:ascii="Calibri" w:hAnsi="Calibri"/>
          <w:sz w:val="22"/>
          <w:szCs w:val="22"/>
        </w:rPr>
        <w:t xml:space="preserve"> </w:t>
      </w:r>
      <w:r>
        <w:rPr>
          <w:rFonts w:ascii="Calibri" w:hAnsi="Calibri"/>
          <w:sz w:val="22"/>
          <w:szCs w:val="22"/>
        </w:rPr>
        <w:t xml:space="preserve">AEDC </w:t>
      </w:r>
      <w:r w:rsidRPr="00E2314F">
        <w:rPr>
          <w:rFonts w:ascii="Calibri" w:hAnsi="Calibri"/>
          <w:sz w:val="22"/>
          <w:szCs w:val="22"/>
        </w:rPr>
        <w:t xml:space="preserve">findings </w:t>
      </w:r>
      <w:r>
        <w:rPr>
          <w:rFonts w:ascii="Calibri" w:hAnsi="Calibri"/>
          <w:sz w:val="22"/>
          <w:szCs w:val="22"/>
        </w:rPr>
        <w:t>revealed</w:t>
      </w:r>
      <w:r w:rsidRPr="00E2314F">
        <w:rPr>
          <w:rFonts w:ascii="Calibri" w:hAnsi="Calibri"/>
          <w:sz w:val="22"/>
          <w:szCs w:val="22"/>
        </w:rPr>
        <w:t xml:space="preserve"> that </w:t>
      </w:r>
      <w:r>
        <w:rPr>
          <w:rFonts w:ascii="Calibri" w:hAnsi="Calibri"/>
          <w:sz w:val="22"/>
          <w:szCs w:val="22"/>
        </w:rPr>
        <w:t>28% of prep</w:t>
      </w:r>
      <w:r w:rsidRPr="00E2314F">
        <w:rPr>
          <w:rFonts w:ascii="Calibri" w:hAnsi="Calibri"/>
          <w:sz w:val="22"/>
          <w:szCs w:val="22"/>
        </w:rPr>
        <w:t xml:space="preserve"> pupils in Greater Dandenong </w:t>
      </w:r>
      <w:r>
        <w:rPr>
          <w:rFonts w:ascii="Calibri" w:hAnsi="Calibri"/>
          <w:sz w:val="22"/>
          <w:szCs w:val="22"/>
        </w:rPr>
        <w:t>were</w:t>
      </w:r>
      <w:r w:rsidRPr="00E2314F">
        <w:rPr>
          <w:rFonts w:ascii="Calibri" w:hAnsi="Calibri"/>
          <w:sz w:val="22"/>
          <w:szCs w:val="22"/>
        </w:rPr>
        <w:t xml:space="preserve"> </w:t>
      </w:r>
      <w:r>
        <w:rPr>
          <w:rFonts w:ascii="Calibri" w:hAnsi="Calibri"/>
          <w:sz w:val="22"/>
          <w:szCs w:val="22"/>
        </w:rPr>
        <w:t>‘</w:t>
      </w:r>
      <w:r w:rsidRPr="00E2314F">
        <w:rPr>
          <w:rFonts w:ascii="Calibri" w:hAnsi="Calibri"/>
          <w:sz w:val="22"/>
          <w:szCs w:val="22"/>
        </w:rPr>
        <w:t>developmentally vulnerable</w:t>
      </w:r>
      <w:r>
        <w:rPr>
          <w:rFonts w:ascii="Calibri" w:hAnsi="Calibri"/>
          <w:sz w:val="22"/>
          <w:szCs w:val="22"/>
        </w:rPr>
        <w:t xml:space="preserve">’ </w:t>
      </w:r>
      <w:r w:rsidRPr="00E2314F">
        <w:rPr>
          <w:rFonts w:ascii="Calibri" w:hAnsi="Calibri"/>
          <w:sz w:val="22"/>
          <w:szCs w:val="22"/>
        </w:rPr>
        <w:t xml:space="preserve">in </w:t>
      </w:r>
      <w:r w:rsidRPr="006B5E0B">
        <w:rPr>
          <w:rFonts w:ascii="Calibri" w:hAnsi="Calibri"/>
          <w:i/>
          <w:sz w:val="22"/>
          <w:szCs w:val="22"/>
        </w:rPr>
        <w:t>one or more</w:t>
      </w:r>
      <w:r w:rsidRPr="00E2314F">
        <w:rPr>
          <w:rFonts w:ascii="Calibri" w:hAnsi="Calibri"/>
          <w:sz w:val="22"/>
          <w:szCs w:val="22"/>
        </w:rPr>
        <w:t xml:space="preserve"> of these fields of development –substantially more tha</w:t>
      </w:r>
      <w:r>
        <w:rPr>
          <w:rFonts w:ascii="Calibri" w:hAnsi="Calibri"/>
          <w:sz w:val="22"/>
          <w:szCs w:val="22"/>
        </w:rPr>
        <w:t>n</w:t>
      </w:r>
      <w:r w:rsidRPr="00E2314F">
        <w:rPr>
          <w:rFonts w:ascii="Calibri" w:hAnsi="Calibri"/>
          <w:sz w:val="22"/>
          <w:szCs w:val="22"/>
        </w:rPr>
        <w:t xml:space="preserve"> the Victorian level of </w:t>
      </w:r>
      <w:r>
        <w:rPr>
          <w:rFonts w:ascii="Calibri" w:hAnsi="Calibri"/>
          <w:sz w:val="22"/>
          <w:szCs w:val="22"/>
        </w:rPr>
        <w:t>20%,</w:t>
      </w:r>
      <w:r w:rsidRPr="00E2314F">
        <w:rPr>
          <w:rFonts w:ascii="Calibri" w:hAnsi="Calibri"/>
          <w:sz w:val="22"/>
          <w:szCs w:val="22"/>
        </w:rPr>
        <w:t xml:space="preserve"> and the </w:t>
      </w:r>
      <w:r>
        <w:rPr>
          <w:rFonts w:ascii="Calibri" w:hAnsi="Calibri"/>
          <w:sz w:val="22"/>
          <w:szCs w:val="22"/>
        </w:rPr>
        <w:t xml:space="preserve">second </w:t>
      </w:r>
      <w:r w:rsidRPr="00E2314F">
        <w:rPr>
          <w:rFonts w:ascii="Calibri" w:hAnsi="Calibri"/>
          <w:sz w:val="22"/>
          <w:szCs w:val="22"/>
        </w:rPr>
        <w:t xml:space="preserve">highest rate in </w:t>
      </w:r>
      <w:r>
        <w:rPr>
          <w:rFonts w:ascii="Calibri" w:hAnsi="Calibri"/>
          <w:sz w:val="22"/>
          <w:szCs w:val="22"/>
        </w:rPr>
        <w:t>Melbourne</w:t>
      </w:r>
      <w:r w:rsidRPr="00E2314F">
        <w:rPr>
          <w:rFonts w:ascii="Calibri" w:hAnsi="Calibri"/>
          <w:sz w:val="22"/>
          <w:szCs w:val="22"/>
        </w:rPr>
        <w:t xml:space="preserve">. </w:t>
      </w:r>
    </w:p>
    <w:p w14:paraId="0802E5C0" w14:textId="77777777" w:rsidR="008E3AA6" w:rsidRDefault="008E3AA6" w:rsidP="008E3AA6">
      <w:pPr>
        <w:spacing w:line="360" w:lineRule="auto"/>
        <w:jc w:val="both"/>
        <w:rPr>
          <w:rFonts w:ascii="Calibri" w:hAnsi="Calibri"/>
          <w:sz w:val="22"/>
          <w:szCs w:val="22"/>
        </w:rPr>
      </w:pPr>
      <w:r>
        <w:rPr>
          <w:rFonts w:ascii="Calibri" w:hAnsi="Calibri"/>
          <w:sz w:val="22"/>
          <w:szCs w:val="22"/>
        </w:rPr>
        <w:t>For each metropolitan municipality, the percentage of prep pupils who are considered ‘developmentally vulnerable’ in one or more domains, is illustrated in the diagram below.</w:t>
      </w:r>
    </w:p>
    <w:p w14:paraId="7234AD85" w14:textId="77777777" w:rsidR="008E3AA6" w:rsidRDefault="008E3AA6" w:rsidP="008E3AA6">
      <w:pPr>
        <w:spacing w:line="360" w:lineRule="auto"/>
        <w:jc w:val="both"/>
        <w:rPr>
          <w:rFonts w:ascii="Calibri" w:hAnsi="Calibri"/>
          <w:sz w:val="22"/>
          <w:szCs w:val="22"/>
        </w:rPr>
      </w:pPr>
    </w:p>
    <w:p w14:paraId="69F1BF0D" w14:textId="77777777" w:rsidR="008E3AA6" w:rsidRPr="00722DEC" w:rsidRDefault="008E3AA6" w:rsidP="008E3AA6">
      <w:pPr>
        <w:ind w:left="142"/>
        <w:rPr>
          <w:rFonts w:ascii="Calibri" w:hAnsi="Calibri"/>
          <w:color w:val="7F7F7F"/>
        </w:rPr>
      </w:pPr>
      <w:r w:rsidRPr="00AE71BB">
        <w:rPr>
          <w:rFonts w:ascii="Calibri" w:hAnsi="Calibri"/>
          <w:noProof/>
          <w:color w:val="7F7F7F"/>
        </w:rPr>
        <w:t>Percent Prep. Pupils Developmentally Vulnerable in one or more Domains</w:t>
      </w:r>
      <w:r w:rsidRPr="00AE71BB">
        <w:rPr>
          <w:rFonts w:ascii="Calibri" w:hAnsi="Calibri"/>
          <w:color w:val="7F7F7F"/>
        </w:rPr>
        <w:t xml:space="preserve"> by metropolitan Municipality, 201</w:t>
      </w:r>
      <w:r>
        <w:rPr>
          <w:rFonts w:ascii="Calibri" w:hAnsi="Calibri"/>
          <w:color w:val="7F7F7F"/>
        </w:rPr>
        <w:t>8</w:t>
      </w:r>
    </w:p>
    <w:p w14:paraId="7A3B39C0" w14:textId="77777777" w:rsidR="008E3AA6" w:rsidRDefault="008E3AA6" w:rsidP="008E3AA6">
      <w:pPr>
        <w:spacing w:line="360" w:lineRule="auto"/>
        <w:jc w:val="center"/>
        <w:rPr>
          <w:rFonts w:ascii="Calibri" w:hAnsi="Calibri"/>
          <w:sz w:val="22"/>
          <w:szCs w:val="22"/>
        </w:rPr>
      </w:pPr>
      <w:r>
        <w:rPr>
          <w:rFonts w:ascii="Calibri" w:hAnsi="Calibri"/>
          <w:b/>
          <w:noProof/>
          <w:lang w:val="en-AU" w:eastAsia="en-AU"/>
        </w:rPr>
        <w:drawing>
          <wp:anchor distT="0" distB="0" distL="114300" distR="114300" simplePos="0" relativeHeight="251671552" behindDoc="0" locked="0" layoutInCell="1" allowOverlap="1" wp14:anchorId="3249CDDA" wp14:editId="546AF052">
            <wp:simplePos x="0" y="0"/>
            <wp:positionH relativeFrom="column">
              <wp:posOffset>1106170</wp:posOffset>
            </wp:positionH>
            <wp:positionV relativeFrom="paragraph">
              <wp:posOffset>87630</wp:posOffset>
            </wp:positionV>
            <wp:extent cx="1661795" cy="751205"/>
            <wp:effectExtent l="0" t="0" r="0" b="0"/>
            <wp:wrapNone/>
            <wp:docPr id="178" name="Picture 177" descr="kindergar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dergarten.jpg"/>
                    <pic:cNvPicPr/>
                  </pic:nvPicPr>
                  <pic:blipFill>
                    <a:blip r:embed="rId7" cstate="print"/>
                    <a:stretch>
                      <a:fillRect/>
                    </a:stretch>
                  </pic:blipFill>
                  <pic:spPr>
                    <a:xfrm>
                      <a:off x="0" y="0"/>
                      <a:ext cx="1661795" cy="7512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noProof/>
          <w:sz w:val="22"/>
          <w:szCs w:val="22"/>
          <w:lang w:val="en-AU" w:eastAsia="en-AU"/>
        </w:rPr>
        <w:drawing>
          <wp:inline distT="0" distB="0" distL="0" distR="0" wp14:anchorId="2592689C" wp14:editId="7CC3F4F2">
            <wp:extent cx="5104737" cy="3434963"/>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7940" cy="3437118"/>
                    </a:xfrm>
                    <a:prstGeom prst="rect">
                      <a:avLst/>
                    </a:prstGeom>
                    <a:noFill/>
                  </pic:spPr>
                </pic:pic>
              </a:graphicData>
            </a:graphic>
          </wp:inline>
        </w:drawing>
      </w:r>
    </w:p>
    <w:p w14:paraId="4D236765" w14:textId="77777777" w:rsidR="008E3AA6" w:rsidRDefault="008E3AA6" w:rsidP="008E3AA6">
      <w:pPr>
        <w:spacing w:line="360" w:lineRule="auto"/>
        <w:jc w:val="center"/>
        <w:rPr>
          <w:rFonts w:ascii="Calibri" w:hAnsi="Calibri"/>
          <w:sz w:val="22"/>
          <w:szCs w:val="22"/>
        </w:rPr>
      </w:pPr>
    </w:p>
    <w:p w14:paraId="62427637" w14:textId="77777777" w:rsidR="008E3AA6" w:rsidRDefault="008E3AA6" w:rsidP="008E3AA6">
      <w:pPr>
        <w:spacing w:line="360" w:lineRule="auto"/>
        <w:jc w:val="both"/>
        <w:rPr>
          <w:rFonts w:ascii="Calibri" w:hAnsi="Calibri"/>
          <w:sz w:val="22"/>
          <w:szCs w:val="22"/>
        </w:rPr>
      </w:pPr>
      <w:r>
        <w:rPr>
          <w:rFonts w:ascii="Calibri" w:hAnsi="Calibri"/>
          <w:sz w:val="22"/>
          <w:szCs w:val="22"/>
        </w:rPr>
        <w:t>Locally, the proportion of prep</w:t>
      </w:r>
      <w:r w:rsidRPr="00E2314F">
        <w:rPr>
          <w:rFonts w:ascii="Calibri" w:hAnsi="Calibri"/>
          <w:sz w:val="22"/>
          <w:szCs w:val="22"/>
        </w:rPr>
        <w:t xml:space="preserve"> pupils </w:t>
      </w:r>
      <w:r>
        <w:rPr>
          <w:rFonts w:ascii="Calibri" w:hAnsi="Calibri"/>
          <w:sz w:val="22"/>
          <w:szCs w:val="22"/>
        </w:rPr>
        <w:t>who are</w:t>
      </w:r>
      <w:r w:rsidRPr="00E2314F">
        <w:rPr>
          <w:rFonts w:ascii="Calibri" w:hAnsi="Calibri"/>
          <w:sz w:val="22"/>
          <w:szCs w:val="22"/>
        </w:rPr>
        <w:t xml:space="preserve"> </w:t>
      </w:r>
      <w:r>
        <w:rPr>
          <w:rFonts w:ascii="Calibri" w:hAnsi="Calibri"/>
          <w:sz w:val="22"/>
          <w:szCs w:val="22"/>
        </w:rPr>
        <w:t>‘</w:t>
      </w:r>
      <w:r w:rsidRPr="00E2314F">
        <w:rPr>
          <w:rFonts w:ascii="Calibri" w:hAnsi="Calibri"/>
          <w:sz w:val="22"/>
          <w:szCs w:val="22"/>
        </w:rPr>
        <w:t>developmentally vulnerable</w:t>
      </w:r>
      <w:r>
        <w:rPr>
          <w:rFonts w:ascii="Calibri" w:hAnsi="Calibri"/>
          <w:sz w:val="22"/>
          <w:szCs w:val="22"/>
        </w:rPr>
        <w:t>’</w:t>
      </w:r>
      <w:r w:rsidRPr="00E2314F">
        <w:rPr>
          <w:rFonts w:ascii="Calibri" w:hAnsi="Calibri"/>
          <w:sz w:val="22"/>
          <w:szCs w:val="22"/>
        </w:rPr>
        <w:t xml:space="preserve"> </w:t>
      </w:r>
      <w:r>
        <w:rPr>
          <w:rFonts w:ascii="Calibri" w:hAnsi="Calibri"/>
          <w:sz w:val="22"/>
          <w:szCs w:val="22"/>
        </w:rPr>
        <w:t>ranged</w:t>
      </w:r>
      <w:r w:rsidRPr="00E2314F">
        <w:rPr>
          <w:rFonts w:ascii="Calibri" w:hAnsi="Calibri"/>
          <w:sz w:val="22"/>
          <w:szCs w:val="22"/>
        </w:rPr>
        <w:t xml:space="preserve"> from </w:t>
      </w:r>
      <w:r>
        <w:rPr>
          <w:rFonts w:ascii="Calibri" w:hAnsi="Calibri"/>
          <w:sz w:val="22"/>
          <w:szCs w:val="22"/>
        </w:rPr>
        <w:t xml:space="preserve">34% in Springvale, to 30% in Dandenong and Springvale South, 27% in Noble Park and Dandenong North, 22% in </w:t>
      </w:r>
      <w:proofErr w:type="spellStart"/>
      <w:r>
        <w:rPr>
          <w:rFonts w:ascii="Calibri" w:hAnsi="Calibri"/>
          <w:sz w:val="22"/>
          <w:szCs w:val="22"/>
        </w:rPr>
        <w:t>Keysborough</w:t>
      </w:r>
      <w:proofErr w:type="spellEnd"/>
      <w:r>
        <w:rPr>
          <w:rFonts w:ascii="Calibri" w:hAnsi="Calibri"/>
          <w:sz w:val="22"/>
          <w:szCs w:val="22"/>
        </w:rPr>
        <w:t xml:space="preserve"> and 20% in Noble Park North.</w:t>
      </w:r>
    </w:p>
    <w:p w14:paraId="2ABE04BB" w14:textId="77777777" w:rsidR="008E3AA6" w:rsidRDefault="008E3AA6" w:rsidP="008E3AA6">
      <w:pPr>
        <w:rPr>
          <w:rFonts w:ascii="Calibri" w:hAnsi="Calibri"/>
          <w:noProof/>
          <w:color w:val="7F7F7F"/>
        </w:rPr>
      </w:pPr>
      <w:r>
        <w:rPr>
          <w:rFonts w:ascii="Calibri" w:hAnsi="Calibri"/>
          <w:noProof/>
          <w:color w:val="7F7F7F"/>
          <w:lang w:val="en-AU" w:eastAsia="en-AU"/>
        </w:rPr>
        <w:lastRenderedPageBreak/>
        <w:drawing>
          <wp:anchor distT="0" distB="0" distL="114300" distR="114300" simplePos="0" relativeHeight="251670528" behindDoc="0" locked="0" layoutInCell="1" allowOverlap="1" wp14:anchorId="0498E4AC" wp14:editId="78895E97">
            <wp:simplePos x="0" y="0"/>
            <wp:positionH relativeFrom="column">
              <wp:posOffset>1649095</wp:posOffset>
            </wp:positionH>
            <wp:positionV relativeFrom="paragraph">
              <wp:posOffset>50800</wp:posOffset>
            </wp:positionV>
            <wp:extent cx="4467860" cy="3579495"/>
            <wp:effectExtent l="0" t="0" r="889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7860" cy="3579495"/>
                    </a:xfrm>
                    <a:prstGeom prst="rect">
                      <a:avLst/>
                    </a:prstGeom>
                    <a:noFill/>
                  </pic:spPr>
                </pic:pic>
              </a:graphicData>
            </a:graphic>
            <wp14:sizeRelH relativeFrom="page">
              <wp14:pctWidth>0</wp14:pctWidth>
            </wp14:sizeRelH>
            <wp14:sizeRelV relativeFrom="page">
              <wp14:pctHeight>0</wp14:pctHeight>
            </wp14:sizeRelV>
          </wp:anchor>
        </w:drawing>
      </w:r>
      <w:r w:rsidRPr="00AE71BB">
        <w:rPr>
          <w:rFonts w:ascii="Calibri" w:hAnsi="Calibri"/>
          <w:noProof/>
          <w:color w:val="7F7F7F"/>
        </w:rPr>
        <w:t>Percent Prep. Pu</w:t>
      </w:r>
      <w:r>
        <w:rPr>
          <w:rFonts w:ascii="Calibri" w:hAnsi="Calibri"/>
          <w:noProof/>
          <w:color w:val="7F7F7F"/>
        </w:rPr>
        <w:t>pils Developmentally Vulnerable, by Domain: Greater Dandenong, 2012 and 2015</w:t>
      </w:r>
    </w:p>
    <w:p w14:paraId="56C85139" w14:textId="77777777" w:rsidR="008E3AA6" w:rsidRDefault="008E3AA6" w:rsidP="008E3AA6">
      <w:pPr>
        <w:spacing w:line="360" w:lineRule="auto"/>
        <w:jc w:val="both"/>
        <w:rPr>
          <w:rFonts w:ascii="Calibri" w:hAnsi="Calibri"/>
          <w:sz w:val="22"/>
          <w:szCs w:val="22"/>
        </w:rPr>
      </w:pPr>
    </w:p>
    <w:p w14:paraId="5DE0E8FF" w14:textId="77777777" w:rsidR="008E3AA6" w:rsidRDefault="008E3AA6" w:rsidP="008E3AA6">
      <w:pPr>
        <w:spacing w:line="360" w:lineRule="auto"/>
        <w:jc w:val="both"/>
        <w:rPr>
          <w:rFonts w:ascii="Calibri" w:hAnsi="Calibri"/>
          <w:sz w:val="22"/>
          <w:szCs w:val="22"/>
        </w:rPr>
      </w:pPr>
    </w:p>
    <w:p w14:paraId="1857710E" w14:textId="77777777" w:rsidR="008E3AA6" w:rsidRDefault="008E3AA6" w:rsidP="008E3AA6">
      <w:pPr>
        <w:spacing w:line="360" w:lineRule="auto"/>
        <w:jc w:val="both"/>
        <w:rPr>
          <w:rFonts w:ascii="Calibri" w:hAnsi="Calibri"/>
          <w:sz w:val="22"/>
          <w:szCs w:val="22"/>
        </w:rPr>
      </w:pPr>
      <w:r>
        <w:rPr>
          <w:rFonts w:ascii="Calibri" w:hAnsi="Calibri"/>
          <w:sz w:val="22"/>
          <w:szCs w:val="22"/>
        </w:rPr>
        <w:t xml:space="preserve">Notably however, the proportion of children in Greater Dandenong who were recorded as developmentally vulnerable in one or more domains had declined from 37% in 2012 to 28% by 2018. </w:t>
      </w:r>
      <w:r w:rsidRPr="00E2314F">
        <w:rPr>
          <w:rFonts w:ascii="Calibri" w:hAnsi="Calibri"/>
          <w:sz w:val="22"/>
          <w:szCs w:val="22"/>
        </w:rPr>
        <w:t>Results from Greater Dandenong</w:t>
      </w:r>
      <w:r>
        <w:rPr>
          <w:rFonts w:ascii="Calibri" w:hAnsi="Calibri"/>
          <w:sz w:val="22"/>
          <w:szCs w:val="22"/>
        </w:rPr>
        <w:t xml:space="preserve"> for each of the domains of personal development among </w:t>
      </w:r>
      <w:proofErr w:type="spellStart"/>
      <w:r>
        <w:rPr>
          <w:rFonts w:ascii="Calibri" w:hAnsi="Calibri"/>
          <w:sz w:val="22"/>
          <w:szCs w:val="22"/>
        </w:rPr>
        <w:t>prepl</w:t>
      </w:r>
      <w:proofErr w:type="spellEnd"/>
      <w:r>
        <w:rPr>
          <w:rFonts w:ascii="Calibri" w:hAnsi="Calibri"/>
          <w:sz w:val="22"/>
          <w:szCs w:val="22"/>
        </w:rPr>
        <w:t>. pupils is illustrated above</w:t>
      </w:r>
      <w:r w:rsidRPr="00E2314F">
        <w:rPr>
          <w:rFonts w:ascii="Calibri" w:hAnsi="Calibri"/>
          <w:sz w:val="22"/>
          <w:szCs w:val="22"/>
        </w:rPr>
        <w:t>.</w:t>
      </w:r>
    </w:p>
    <w:p w14:paraId="6D98E792" w14:textId="77777777" w:rsidR="008E3AA6" w:rsidRPr="00413396" w:rsidRDefault="008E3AA6" w:rsidP="008E3AA6">
      <w:pPr>
        <w:ind w:left="142"/>
        <w:jc w:val="center"/>
        <w:rPr>
          <w:rFonts w:ascii="Calibri" w:hAnsi="Calibri"/>
          <w:color w:val="7F7F7F"/>
        </w:rPr>
      </w:pPr>
    </w:p>
    <w:p w14:paraId="1DF8C2CE" w14:textId="77777777" w:rsidR="008E3AA6" w:rsidRPr="005E1ED7" w:rsidRDefault="008E3AA6" w:rsidP="008E3AA6">
      <w:pPr>
        <w:spacing w:line="360" w:lineRule="auto"/>
        <w:jc w:val="both"/>
        <w:rPr>
          <w:rFonts w:ascii="Calibri" w:hAnsi="Calibri"/>
          <w:b/>
          <w:sz w:val="22"/>
          <w:szCs w:val="22"/>
        </w:rPr>
      </w:pPr>
      <w:r w:rsidRPr="005E1ED7">
        <w:rPr>
          <w:rFonts w:ascii="Calibri" w:hAnsi="Calibri"/>
          <w:b/>
          <w:sz w:val="22"/>
          <w:szCs w:val="22"/>
        </w:rPr>
        <w:t>Pre-School</w:t>
      </w:r>
      <w:r>
        <w:rPr>
          <w:rFonts w:ascii="Calibri" w:hAnsi="Calibri"/>
          <w:b/>
          <w:sz w:val="22"/>
          <w:szCs w:val="22"/>
        </w:rPr>
        <w:t xml:space="preserve"> and Kindergarten</w:t>
      </w:r>
      <w:r w:rsidRPr="005E1ED7">
        <w:rPr>
          <w:rFonts w:ascii="Calibri" w:hAnsi="Calibri"/>
          <w:b/>
          <w:sz w:val="22"/>
          <w:szCs w:val="22"/>
        </w:rPr>
        <w:t xml:space="preserve"> Participation</w:t>
      </w:r>
    </w:p>
    <w:p w14:paraId="6B560890" w14:textId="77777777" w:rsidR="008E3AA6" w:rsidRPr="00FA3A8B" w:rsidRDefault="008E3AA6" w:rsidP="008E3AA6">
      <w:pPr>
        <w:spacing w:line="360" w:lineRule="auto"/>
        <w:jc w:val="both"/>
        <w:rPr>
          <w:rFonts w:ascii="Calibri" w:hAnsi="Calibri"/>
          <w:sz w:val="22"/>
          <w:szCs w:val="22"/>
        </w:rPr>
      </w:pPr>
      <w:r w:rsidRPr="00FA3A8B">
        <w:rPr>
          <w:rFonts w:ascii="Calibri" w:hAnsi="Calibri"/>
          <w:sz w:val="22"/>
          <w:szCs w:val="22"/>
        </w:rPr>
        <w:t>The 2018 Australian Early Development Indicators recorded 1</w:t>
      </w:r>
      <w:r>
        <w:rPr>
          <w:rFonts w:ascii="Calibri" w:hAnsi="Calibri"/>
          <w:sz w:val="22"/>
          <w:szCs w:val="22"/>
        </w:rPr>
        <w:t>8.5</w:t>
      </w:r>
      <w:r w:rsidRPr="00FA3A8B">
        <w:rPr>
          <w:rFonts w:ascii="Calibri" w:hAnsi="Calibri"/>
          <w:sz w:val="22"/>
          <w:szCs w:val="22"/>
        </w:rPr>
        <w:t>% of prep. pupils in Greater Dandenong schools had not participated in a pre-school program in the preceding year –compared with 11% across Victoria and the fourth highest level in Melbourne.</w:t>
      </w:r>
    </w:p>
    <w:p w14:paraId="5E937133" w14:textId="77777777" w:rsidR="008E3AA6" w:rsidRDefault="008E3AA6" w:rsidP="008E3AA6">
      <w:pPr>
        <w:jc w:val="both"/>
        <w:rPr>
          <w:rFonts w:ascii="Calibri" w:hAnsi="Calibri"/>
          <w:sz w:val="22"/>
          <w:szCs w:val="22"/>
        </w:rPr>
      </w:pPr>
    </w:p>
    <w:p w14:paraId="596A9927" w14:textId="77777777" w:rsidR="008E3AA6" w:rsidRPr="005E1ED7" w:rsidRDefault="008E3AA6" w:rsidP="008E3AA6">
      <w:pPr>
        <w:spacing w:line="360" w:lineRule="auto"/>
        <w:jc w:val="both"/>
        <w:rPr>
          <w:rFonts w:ascii="Calibri" w:hAnsi="Calibri"/>
          <w:color w:val="7F7F7F"/>
        </w:rPr>
      </w:pPr>
      <w:r w:rsidRPr="005E1ED7">
        <w:rPr>
          <w:rFonts w:ascii="Calibri" w:hAnsi="Calibri"/>
          <w:color w:val="7F7F7F"/>
        </w:rPr>
        <w:t>Percentag</w:t>
      </w:r>
      <w:r>
        <w:rPr>
          <w:rFonts w:ascii="Calibri" w:hAnsi="Calibri"/>
          <w:color w:val="7F7F7F"/>
        </w:rPr>
        <w:t xml:space="preserve">e of Prep. Grade Pupils who </w:t>
      </w:r>
      <w:r w:rsidRPr="00E1045C">
        <w:rPr>
          <w:rFonts w:ascii="Calibri" w:hAnsi="Calibri"/>
          <w:b/>
          <w:color w:val="7F7F7F"/>
        </w:rPr>
        <w:t>did not</w:t>
      </w:r>
      <w:r>
        <w:rPr>
          <w:rFonts w:ascii="Calibri" w:hAnsi="Calibri"/>
          <w:color w:val="7F7F7F"/>
        </w:rPr>
        <w:t xml:space="preserve"> attend</w:t>
      </w:r>
      <w:r w:rsidRPr="005E1ED7">
        <w:rPr>
          <w:rFonts w:ascii="Calibri" w:hAnsi="Calibri"/>
          <w:color w:val="7F7F7F"/>
        </w:rPr>
        <w:t xml:space="preserve"> a Pre-school Program: metropolitan Municipalities, 201</w:t>
      </w:r>
      <w:r>
        <w:rPr>
          <w:rFonts w:ascii="Calibri" w:hAnsi="Calibri"/>
          <w:color w:val="7F7F7F"/>
        </w:rPr>
        <w:t>8</w:t>
      </w:r>
    </w:p>
    <w:p w14:paraId="69824F06" w14:textId="77777777" w:rsidR="008E3AA6" w:rsidRDefault="008E3AA6" w:rsidP="008E3AA6">
      <w:pPr>
        <w:spacing w:line="360" w:lineRule="auto"/>
        <w:jc w:val="center"/>
        <w:rPr>
          <w:rFonts w:ascii="Calibri" w:hAnsi="Calibri"/>
          <w:noProof/>
          <w:sz w:val="22"/>
          <w:szCs w:val="22"/>
          <w:lang w:val="en-AU" w:eastAsia="en-AU"/>
        </w:rPr>
      </w:pPr>
      <w:r>
        <w:rPr>
          <w:rFonts w:ascii="Calibri" w:hAnsi="Calibri"/>
          <w:noProof/>
          <w:sz w:val="22"/>
          <w:szCs w:val="22"/>
          <w:lang w:val="en-AU" w:eastAsia="en-AU"/>
        </w:rPr>
        <w:drawing>
          <wp:inline distT="0" distB="0" distL="0" distR="0" wp14:anchorId="48FECB54" wp14:editId="71CB34BF">
            <wp:extent cx="5890208" cy="3625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1101" cy="3626345"/>
                    </a:xfrm>
                    <a:prstGeom prst="rect">
                      <a:avLst/>
                    </a:prstGeom>
                    <a:noFill/>
                  </pic:spPr>
                </pic:pic>
              </a:graphicData>
            </a:graphic>
          </wp:inline>
        </w:drawing>
      </w:r>
    </w:p>
    <w:p w14:paraId="471E7B8F" w14:textId="77777777" w:rsidR="008E3AA6" w:rsidRDefault="008E3AA6" w:rsidP="008E3AA6">
      <w:pPr>
        <w:tabs>
          <w:tab w:val="left" w:pos="284"/>
        </w:tabs>
        <w:spacing w:line="360" w:lineRule="auto"/>
        <w:jc w:val="both"/>
        <w:rPr>
          <w:rFonts w:ascii="Calibri" w:hAnsi="Calibri"/>
          <w:b/>
          <w:color w:val="000000"/>
          <w:sz w:val="22"/>
          <w:szCs w:val="22"/>
        </w:rPr>
      </w:pPr>
      <w:r>
        <w:rPr>
          <w:rFonts w:ascii="Calibri" w:hAnsi="Calibri"/>
          <w:b/>
          <w:color w:val="000000"/>
          <w:sz w:val="22"/>
          <w:szCs w:val="22"/>
        </w:rPr>
        <w:lastRenderedPageBreak/>
        <w:t>Literacy and Numeracy in Primary and Secondary School</w:t>
      </w:r>
    </w:p>
    <w:p w14:paraId="777709BE"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Each year, primary and secondary students throughout Victoria in years 3, 5, 7 and 9, are tested for literacy and numeracy by the State Government. Results for 2017 show differences between results for pupils in Greater Dandenong and the Victorian average.</w:t>
      </w:r>
    </w:p>
    <w:p w14:paraId="2CBDB456" w14:textId="77777777" w:rsidR="008E3AA6" w:rsidRDefault="008E3AA6" w:rsidP="008E3AA6">
      <w:pPr>
        <w:tabs>
          <w:tab w:val="left" w:pos="284"/>
        </w:tabs>
        <w:spacing w:line="360" w:lineRule="auto"/>
        <w:jc w:val="both"/>
        <w:rPr>
          <w:rFonts w:ascii="Calibri" w:hAnsi="Calibri"/>
          <w:color w:val="000000"/>
          <w:sz w:val="22"/>
          <w:szCs w:val="22"/>
        </w:rPr>
      </w:pPr>
    </w:p>
    <w:p w14:paraId="04BC19E4" w14:textId="77777777" w:rsidR="008E3AA6" w:rsidRPr="0061615D" w:rsidRDefault="008E3AA6" w:rsidP="008E3AA6">
      <w:pPr>
        <w:tabs>
          <w:tab w:val="left" w:pos="284"/>
        </w:tabs>
        <w:spacing w:line="360" w:lineRule="auto"/>
        <w:jc w:val="both"/>
        <w:rPr>
          <w:rFonts w:ascii="Calibri" w:hAnsi="Calibri"/>
          <w:i/>
          <w:color w:val="000000"/>
          <w:sz w:val="22"/>
          <w:szCs w:val="22"/>
        </w:rPr>
      </w:pPr>
      <w:r w:rsidRPr="0061615D">
        <w:rPr>
          <w:rFonts w:ascii="Calibri" w:hAnsi="Calibri"/>
          <w:i/>
          <w:color w:val="000000"/>
          <w:sz w:val="22"/>
          <w:szCs w:val="22"/>
        </w:rPr>
        <w:t>Literacy</w:t>
      </w:r>
    </w:p>
    <w:p w14:paraId="3F3A00B7"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proportion of Greater Dandenong pupils in years 3, 5, 7 and 9 who </w:t>
      </w:r>
      <w:r w:rsidRPr="00020024">
        <w:rPr>
          <w:rFonts w:ascii="Calibri" w:hAnsi="Calibri"/>
          <w:i/>
          <w:color w:val="000000"/>
          <w:sz w:val="22"/>
          <w:szCs w:val="22"/>
        </w:rPr>
        <w:t xml:space="preserve">did not </w:t>
      </w:r>
      <w:r>
        <w:rPr>
          <w:rFonts w:ascii="Calibri" w:hAnsi="Calibri"/>
          <w:color w:val="000000"/>
          <w:sz w:val="22"/>
          <w:szCs w:val="22"/>
        </w:rPr>
        <w:t>meet the national literacy benchmarks in 2017, were approximately twice the Victorian average in these year levels.  Among local pupils in year 9, the proportion whose test results were below the national benchmark was the third highest in the state.</w:t>
      </w:r>
    </w:p>
    <w:p w14:paraId="2F3A51D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8480" behindDoc="0" locked="0" layoutInCell="1" allowOverlap="1" wp14:anchorId="1BB37E6C" wp14:editId="5005B29A">
            <wp:simplePos x="0" y="0"/>
            <wp:positionH relativeFrom="column">
              <wp:posOffset>11430</wp:posOffset>
            </wp:positionH>
            <wp:positionV relativeFrom="paragraph">
              <wp:posOffset>29845</wp:posOffset>
            </wp:positionV>
            <wp:extent cx="3744595" cy="248221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4595" cy="2482215"/>
                    </a:xfrm>
                    <a:prstGeom prst="rect">
                      <a:avLst/>
                    </a:prstGeom>
                    <a:noFill/>
                  </pic:spPr>
                </pic:pic>
              </a:graphicData>
            </a:graphic>
            <wp14:sizeRelH relativeFrom="page">
              <wp14:pctWidth>0</wp14:pctWidth>
            </wp14:sizeRelH>
            <wp14:sizeRelV relativeFrom="page">
              <wp14:pctHeight>0</wp14:pctHeight>
            </wp14:sizeRelV>
          </wp:anchor>
        </w:drawing>
      </w:r>
    </w:p>
    <w:p w14:paraId="6B63358B" w14:textId="77777777" w:rsidR="008E3AA6" w:rsidRPr="004A0926" w:rsidRDefault="008E3AA6" w:rsidP="008E3AA6">
      <w:pPr>
        <w:ind w:left="142"/>
        <w:rPr>
          <w:rFonts w:ascii="Calibri" w:hAnsi="Calibri"/>
          <w:noProof/>
          <w:color w:val="7F7F7F"/>
        </w:rPr>
      </w:pPr>
      <w:r>
        <w:rPr>
          <w:rFonts w:ascii="Calibri" w:hAnsi="Calibri"/>
          <w:noProof/>
          <w:color w:val="7F7F7F"/>
        </w:rPr>
        <w:t>Per cent of pupils below the national literacy benchmark by year level: Greater Dandenong and Victoria, 2017</w:t>
      </w:r>
    </w:p>
    <w:p w14:paraId="580A006B"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i/>
          <w:noProof/>
          <w:color w:val="000000"/>
          <w:sz w:val="22"/>
          <w:szCs w:val="22"/>
          <w:lang w:val="en-AU" w:eastAsia="en-AU"/>
        </w:rPr>
        <w:drawing>
          <wp:anchor distT="0" distB="0" distL="114300" distR="114300" simplePos="0" relativeHeight="251662336" behindDoc="0" locked="0" layoutInCell="1" allowOverlap="1" wp14:anchorId="05A18EB9" wp14:editId="21ECFB58">
            <wp:simplePos x="0" y="0"/>
            <wp:positionH relativeFrom="column">
              <wp:posOffset>1094188</wp:posOffset>
            </wp:positionH>
            <wp:positionV relativeFrom="paragraph">
              <wp:posOffset>114300</wp:posOffset>
            </wp:positionV>
            <wp:extent cx="1168842" cy="109548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8842" cy="10954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2BEEA81" w14:textId="77777777" w:rsidR="008E3AA6" w:rsidRPr="004A0926" w:rsidRDefault="008E3AA6" w:rsidP="008E3AA6">
      <w:pPr>
        <w:tabs>
          <w:tab w:val="left" w:pos="284"/>
        </w:tabs>
        <w:spacing w:line="360" w:lineRule="auto"/>
        <w:jc w:val="both"/>
        <w:rPr>
          <w:rFonts w:ascii="Calibri" w:hAnsi="Calibri"/>
          <w:color w:val="000000"/>
          <w:sz w:val="22"/>
          <w:szCs w:val="22"/>
        </w:rPr>
      </w:pPr>
    </w:p>
    <w:p w14:paraId="41372457" w14:textId="77777777" w:rsidR="008E3AA6" w:rsidRDefault="008E3AA6" w:rsidP="008E3AA6">
      <w:pPr>
        <w:tabs>
          <w:tab w:val="left" w:pos="284"/>
        </w:tabs>
        <w:spacing w:line="360" w:lineRule="auto"/>
        <w:jc w:val="both"/>
        <w:rPr>
          <w:rFonts w:ascii="Calibri" w:hAnsi="Calibri"/>
          <w:color w:val="000000"/>
          <w:sz w:val="22"/>
          <w:szCs w:val="22"/>
        </w:rPr>
      </w:pPr>
    </w:p>
    <w:p w14:paraId="7B79F066" w14:textId="77777777" w:rsidR="008E3AA6" w:rsidRDefault="008E3AA6" w:rsidP="008E3AA6">
      <w:pPr>
        <w:tabs>
          <w:tab w:val="left" w:pos="284"/>
        </w:tabs>
        <w:spacing w:line="360" w:lineRule="auto"/>
        <w:jc w:val="both"/>
        <w:rPr>
          <w:rFonts w:ascii="Calibri" w:hAnsi="Calibri"/>
          <w:color w:val="000000"/>
          <w:sz w:val="22"/>
          <w:szCs w:val="22"/>
        </w:rPr>
      </w:pPr>
    </w:p>
    <w:p w14:paraId="10086E3F" w14:textId="77777777" w:rsidR="008E3AA6" w:rsidRDefault="008E3AA6" w:rsidP="008E3AA6">
      <w:pPr>
        <w:tabs>
          <w:tab w:val="left" w:pos="284"/>
        </w:tabs>
        <w:spacing w:line="360" w:lineRule="auto"/>
        <w:jc w:val="both"/>
        <w:rPr>
          <w:rFonts w:ascii="Calibri" w:hAnsi="Calibri"/>
          <w:color w:val="000000"/>
          <w:sz w:val="22"/>
          <w:szCs w:val="22"/>
        </w:rPr>
      </w:pPr>
    </w:p>
    <w:p w14:paraId="2E7A1DA9" w14:textId="77777777" w:rsidR="008E3AA6" w:rsidRDefault="008E3AA6" w:rsidP="008E3AA6">
      <w:pPr>
        <w:tabs>
          <w:tab w:val="left" w:pos="284"/>
        </w:tabs>
        <w:spacing w:line="360" w:lineRule="auto"/>
        <w:jc w:val="both"/>
        <w:rPr>
          <w:rFonts w:ascii="Calibri" w:hAnsi="Calibri"/>
          <w:color w:val="000000"/>
          <w:sz w:val="22"/>
          <w:szCs w:val="22"/>
        </w:rPr>
      </w:pPr>
    </w:p>
    <w:p w14:paraId="1DD0ADC5" w14:textId="77777777" w:rsidR="008E3AA6" w:rsidRDefault="008E3AA6" w:rsidP="008E3AA6">
      <w:pPr>
        <w:tabs>
          <w:tab w:val="left" w:pos="284"/>
        </w:tabs>
        <w:spacing w:line="360" w:lineRule="auto"/>
        <w:jc w:val="both"/>
        <w:rPr>
          <w:rFonts w:ascii="Calibri" w:hAnsi="Calibri"/>
          <w:i/>
          <w:color w:val="000000"/>
          <w:sz w:val="22"/>
          <w:szCs w:val="22"/>
        </w:rPr>
      </w:pPr>
    </w:p>
    <w:p w14:paraId="69A71C15" w14:textId="77777777" w:rsidR="008E3AA6" w:rsidRDefault="008E3AA6" w:rsidP="008E3AA6">
      <w:pPr>
        <w:tabs>
          <w:tab w:val="left" w:pos="284"/>
        </w:tabs>
        <w:spacing w:line="360" w:lineRule="auto"/>
        <w:jc w:val="both"/>
        <w:rPr>
          <w:rFonts w:ascii="Calibri" w:hAnsi="Calibri"/>
          <w:i/>
          <w:color w:val="000000"/>
          <w:sz w:val="22"/>
          <w:szCs w:val="22"/>
        </w:rPr>
      </w:pPr>
    </w:p>
    <w:p w14:paraId="4AED3057" w14:textId="77777777" w:rsidR="008E3AA6" w:rsidRPr="0061615D" w:rsidRDefault="008E3AA6" w:rsidP="008E3AA6">
      <w:pPr>
        <w:tabs>
          <w:tab w:val="left" w:pos="284"/>
        </w:tabs>
        <w:spacing w:line="360" w:lineRule="auto"/>
        <w:jc w:val="both"/>
        <w:rPr>
          <w:rFonts w:ascii="Calibri" w:hAnsi="Calibri"/>
          <w:i/>
          <w:color w:val="000000"/>
          <w:sz w:val="22"/>
          <w:szCs w:val="22"/>
        </w:rPr>
      </w:pPr>
      <w:r w:rsidRPr="0061615D">
        <w:rPr>
          <w:rFonts w:ascii="Calibri" w:hAnsi="Calibri"/>
          <w:i/>
          <w:color w:val="000000"/>
          <w:sz w:val="22"/>
          <w:szCs w:val="22"/>
        </w:rPr>
        <w:t>Numeracy</w:t>
      </w:r>
    </w:p>
    <w:p w14:paraId="086443DD"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proportion of Greater Dandenong pupils who </w:t>
      </w:r>
      <w:r w:rsidRPr="00B17A6F">
        <w:rPr>
          <w:rFonts w:ascii="Calibri" w:hAnsi="Calibri"/>
          <w:i/>
          <w:color w:val="000000"/>
          <w:sz w:val="22"/>
          <w:szCs w:val="22"/>
        </w:rPr>
        <w:t>did not</w:t>
      </w:r>
      <w:r>
        <w:rPr>
          <w:rFonts w:ascii="Calibri" w:hAnsi="Calibri"/>
          <w:color w:val="000000"/>
          <w:sz w:val="22"/>
          <w:szCs w:val="22"/>
        </w:rPr>
        <w:t xml:space="preserve"> meet numeracy benchmarks was also approximately twice the Victorian level. Among year 9 pupils, the proportion from Greater Dandenong who </w:t>
      </w:r>
      <w:r w:rsidRPr="0042221C">
        <w:rPr>
          <w:rFonts w:ascii="Calibri" w:hAnsi="Calibri"/>
          <w:i/>
          <w:color w:val="000000"/>
          <w:sz w:val="22"/>
          <w:szCs w:val="22"/>
        </w:rPr>
        <w:t>did not</w:t>
      </w:r>
      <w:r>
        <w:rPr>
          <w:rFonts w:ascii="Calibri" w:hAnsi="Calibri"/>
          <w:color w:val="000000"/>
          <w:sz w:val="22"/>
          <w:szCs w:val="22"/>
        </w:rPr>
        <w:t xml:space="preserve"> meet the benchmark was the highest in the state. </w:t>
      </w:r>
    </w:p>
    <w:p w14:paraId="098C28FD"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9504" behindDoc="0" locked="0" layoutInCell="1" allowOverlap="1" wp14:anchorId="1B7311EC" wp14:editId="288351FE">
            <wp:simplePos x="0" y="0"/>
            <wp:positionH relativeFrom="column">
              <wp:posOffset>2197100</wp:posOffset>
            </wp:positionH>
            <wp:positionV relativeFrom="paragraph">
              <wp:posOffset>51435</wp:posOffset>
            </wp:positionV>
            <wp:extent cx="3959225" cy="2540635"/>
            <wp:effectExtent l="0" t="0" r="317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9225" cy="2540635"/>
                    </a:xfrm>
                    <a:prstGeom prst="rect">
                      <a:avLst/>
                    </a:prstGeom>
                    <a:noFill/>
                  </pic:spPr>
                </pic:pic>
              </a:graphicData>
            </a:graphic>
            <wp14:sizeRelH relativeFrom="page">
              <wp14:pctWidth>0</wp14:pctWidth>
            </wp14:sizeRelH>
            <wp14:sizeRelV relativeFrom="page">
              <wp14:pctHeight>0</wp14:pctHeight>
            </wp14:sizeRelV>
          </wp:anchor>
        </w:drawing>
      </w:r>
    </w:p>
    <w:p w14:paraId="610D321F" w14:textId="77777777" w:rsidR="008E3AA6" w:rsidRPr="004A0926" w:rsidRDefault="008E3AA6" w:rsidP="008E3AA6">
      <w:pPr>
        <w:tabs>
          <w:tab w:val="left" w:pos="284"/>
        </w:tabs>
        <w:spacing w:line="360" w:lineRule="auto"/>
        <w:jc w:val="both"/>
        <w:rPr>
          <w:rFonts w:ascii="Calibri" w:hAnsi="Calibri"/>
          <w:color w:val="000000"/>
          <w:sz w:val="22"/>
          <w:szCs w:val="22"/>
        </w:rPr>
      </w:pPr>
    </w:p>
    <w:p w14:paraId="5248C2A7" w14:textId="77777777" w:rsidR="008E3AA6" w:rsidRPr="004A0926" w:rsidRDefault="008E3AA6" w:rsidP="008E3AA6">
      <w:pPr>
        <w:ind w:left="142"/>
        <w:jc w:val="both"/>
        <w:rPr>
          <w:rFonts w:ascii="Calibri" w:hAnsi="Calibri"/>
          <w:noProof/>
          <w:color w:val="7F7F7F"/>
        </w:rPr>
      </w:pPr>
      <w:r>
        <w:rPr>
          <w:rFonts w:ascii="Calibri" w:hAnsi="Calibri"/>
          <w:noProof/>
          <w:color w:val="7F7F7F"/>
        </w:rPr>
        <w:t>Per cent of pupils below the national numeracy benchmark by year level: Greater Dandenong and Victoria, 2017</w:t>
      </w:r>
    </w:p>
    <w:p w14:paraId="4C605004"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i/>
          <w:noProof/>
          <w:color w:val="000000"/>
          <w:sz w:val="22"/>
          <w:szCs w:val="22"/>
          <w:lang w:val="en-AU" w:eastAsia="en-AU"/>
        </w:rPr>
        <w:drawing>
          <wp:anchor distT="0" distB="0" distL="114300" distR="114300" simplePos="0" relativeHeight="251663360" behindDoc="0" locked="0" layoutInCell="1" allowOverlap="1" wp14:anchorId="50ED4D25" wp14:editId="3AB57668">
            <wp:simplePos x="0" y="0"/>
            <wp:positionH relativeFrom="column">
              <wp:posOffset>122748</wp:posOffset>
            </wp:positionH>
            <wp:positionV relativeFrom="paragraph">
              <wp:posOffset>111760</wp:posOffset>
            </wp:positionV>
            <wp:extent cx="1288112" cy="1248417"/>
            <wp:effectExtent l="0" t="0" r="762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Numeracy.jpg"/>
                    <pic:cNvPicPr/>
                  </pic:nvPicPr>
                  <pic:blipFill>
                    <a:blip r:embed="rId14">
                      <a:extLst>
                        <a:ext uri="{28A0092B-C50C-407E-A947-70E740481C1C}">
                          <a14:useLocalDpi xmlns:a14="http://schemas.microsoft.com/office/drawing/2010/main" val="0"/>
                        </a:ext>
                      </a:extLst>
                    </a:blip>
                    <a:stretch>
                      <a:fillRect/>
                    </a:stretch>
                  </pic:blipFill>
                  <pic:spPr>
                    <a:xfrm>
                      <a:off x="0" y="0"/>
                      <a:ext cx="1290499" cy="125073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5EA9102" w14:textId="77777777" w:rsidR="008E3AA6" w:rsidRDefault="008E3AA6" w:rsidP="008E3AA6">
      <w:pPr>
        <w:tabs>
          <w:tab w:val="left" w:pos="284"/>
        </w:tabs>
        <w:spacing w:line="360" w:lineRule="auto"/>
        <w:jc w:val="both"/>
        <w:rPr>
          <w:rFonts w:ascii="Calibri" w:hAnsi="Calibri"/>
          <w:color w:val="000000"/>
          <w:sz w:val="22"/>
          <w:szCs w:val="22"/>
        </w:rPr>
      </w:pPr>
    </w:p>
    <w:p w14:paraId="32C9AE41" w14:textId="77777777" w:rsidR="008E3AA6" w:rsidRDefault="008E3AA6" w:rsidP="008E3AA6">
      <w:pPr>
        <w:tabs>
          <w:tab w:val="left" w:pos="284"/>
        </w:tabs>
        <w:spacing w:line="360" w:lineRule="auto"/>
        <w:jc w:val="both"/>
        <w:rPr>
          <w:rFonts w:ascii="Calibri" w:hAnsi="Calibri"/>
          <w:color w:val="000000"/>
          <w:sz w:val="22"/>
          <w:szCs w:val="22"/>
        </w:rPr>
      </w:pPr>
    </w:p>
    <w:p w14:paraId="7E2EB3C0" w14:textId="77777777" w:rsidR="008E3AA6" w:rsidRDefault="008E3AA6" w:rsidP="008E3AA6">
      <w:pPr>
        <w:tabs>
          <w:tab w:val="left" w:pos="284"/>
        </w:tabs>
        <w:spacing w:line="360" w:lineRule="auto"/>
        <w:jc w:val="both"/>
        <w:rPr>
          <w:rFonts w:ascii="Calibri" w:hAnsi="Calibri"/>
          <w:color w:val="000000"/>
          <w:sz w:val="22"/>
          <w:szCs w:val="22"/>
        </w:rPr>
      </w:pPr>
    </w:p>
    <w:p w14:paraId="60B2B92B" w14:textId="77777777" w:rsidR="008E3AA6" w:rsidRDefault="008E3AA6" w:rsidP="008E3AA6">
      <w:pPr>
        <w:tabs>
          <w:tab w:val="left" w:pos="284"/>
        </w:tabs>
        <w:spacing w:line="360" w:lineRule="auto"/>
        <w:jc w:val="both"/>
        <w:rPr>
          <w:rFonts w:ascii="Calibri" w:hAnsi="Calibri"/>
          <w:color w:val="000000"/>
          <w:sz w:val="22"/>
          <w:szCs w:val="22"/>
        </w:rPr>
      </w:pPr>
    </w:p>
    <w:p w14:paraId="4376A088" w14:textId="77777777" w:rsidR="008E3AA6" w:rsidRDefault="008E3AA6" w:rsidP="008E3AA6">
      <w:pPr>
        <w:tabs>
          <w:tab w:val="left" w:pos="284"/>
        </w:tabs>
        <w:spacing w:line="360" w:lineRule="auto"/>
        <w:jc w:val="both"/>
        <w:rPr>
          <w:rFonts w:ascii="Calibri" w:hAnsi="Calibri"/>
          <w:color w:val="000000"/>
          <w:sz w:val="22"/>
          <w:szCs w:val="22"/>
        </w:rPr>
      </w:pPr>
    </w:p>
    <w:p w14:paraId="38F94930" w14:textId="77777777" w:rsidR="008E3AA6" w:rsidRDefault="008E3AA6" w:rsidP="008E3AA6">
      <w:pPr>
        <w:tabs>
          <w:tab w:val="left" w:pos="284"/>
        </w:tabs>
        <w:spacing w:line="360" w:lineRule="auto"/>
        <w:jc w:val="both"/>
        <w:rPr>
          <w:rFonts w:ascii="Calibri" w:hAnsi="Calibri"/>
          <w:color w:val="000000"/>
          <w:sz w:val="22"/>
          <w:szCs w:val="22"/>
        </w:rPr>
      </w:pPr>
    </w:p>
    <w:p w14:paraId="4E7990BA" w14:textId="77777777" w:rsidR="008E3AA6" w:rsidRPr="00E2314F" w:rsidRDefault="008E3AA6" w:rsidP="008E3AA6">
      <w:pPr>
        <w:tabs>
          <w:tab w:val="left" w:pos="284"/>
        </w:tabs>
        <w:spacing w:line="360" w:lineRule="auto"/>
        <w:jc w:val="both"/>
        <w:rPr>
          <w:rFonts w:ascii="Calibri" w:hAnsi="Calibri"/>
          <w:b/>
          <w:color w:val="000000"/>
          <w:sz w:val="22"/>
          <w:szCs w:val="22"/>
        </w:rPr>
      </w:pPr>
      <w:r w:rsidRPr="00E2314F">
        <w:rPr>
          <w:rFonts w:ascii="Calibri" w:hAnsi="Calibri"/>
          <w:b/>
          <w:color w:val="000000"/>
          <w:sz w:val="22"/>
          <w:szCs w:val="22"/>
        </w:rPr>
        <w:lastRenderedPageBreak/>
        <w:t>Early School Leaving</w:t>
      </w:r>
    </w:p>
    <w:p w14:paraId="28B204B1" w14:textId="77777777" w:rsidR="008E3AA6" w:rsidRPr="000638A1" w:rsidRDefault="008E3AA6" w:rsidP="008E3AA6">
      <w:pPr>
        <w:tabs>
          <w:tab w:val="left" w:pos="284"/>
        </w:tabs>
        <w:spacing w:after="60"/>
        <w:jc w:val="both"/>
        <w:rPr>
          <w:rFonts w:ascii="Calibri" w:hAnsi="Calibri"/>
          <w:i/>
          <w:color w:val="000000"/>
          <w:sz w:val="22"/>
          <w:szCs w:val="22"/>
        </w:rPr>
      </w:pPr>
      <w:r w:rsidRPr="000638A1">
        <w:rPr>
          <w:rFonts w:ascii="Calibri" w:hAnsi="Calibri"/>
          <w:i/>
          <w:color w:val="000000"/>
          <w:sz w:val="22"/>
          <w:szCs w:val="22"/>
        </w:rPr>
        <w:t>Current Conditions</w:t>
      </w:r>
    </w:p>
    <w:p w14:paraId="506ABAF7" w14:textId="77777777" w:rsidR="008E3AA6" w:rsidRDefault="008E3AA6" w:rsidP="008E3AA6">
      <w:pPr>
        <w:tabs>
          <w:tab w:val="left" w:pos="284"/>
        </w:tabs>
        <w:spacing w:line="360" w:lineRule="auto"/>
        <w:jc w:val="both"/>
        <w:rPr>
          <w:rFonts w:ascii="Calibri" w:hAnsi="Calibri"/>
          <w:color w:val="000000"/>
          <w:sz w:val="22"/>
          <w:szCs w:val="22"/>
        </w:rPr>
      </w:pPr>
      <w:r w:rsidRPr="00E2314F">
        <w:rPr>
          <w:rFonts w:ascii="Calibri" w:hAnsi="Calibri"/>
          <w:color w:val="000000"/>
          <w:sz w:val="22"/>
          <w:szCs w:val="22"/>
        </w:rPr>
        <w:t>The 201</w:t>
      </w:r>
      <w:r>
        <w:rPr>
          <w:rFonts w:ascii="Calibri" w:hAnsi="Calibri"/>
          <w:color w:val="000000"/>
          <w:sz w:val="22"/>
          <w:szCs w:val="22"/>
        </w:rPr>
        <w:t>6</w:t>
      </w:r>
      <w:r w:rsidRPr="00E2314F">
        <w:rPr>
          <w:rFonts w:ascii="Calibri" w:hAnsi="Calibri"/>
          <w:color w:val="000000"/>
          <w:sz w:val="22"/>
          <w:szCs w:val="22"/>
        </w:rPr>
        <w:t xml:space="preserve"> Census found that 13% of young adults aged 20-24 in Greater Dandenong had left school before completing year eleven</w:t>
      </w:r>
      <w:r>
        <w:rPr>
          <w:rFonts w:ascii="Calibri" w:hAnsi="Calibri"/>
          <w:color w:val="000000"/>
          <w:sz w:val="22"/>
          <w:szCs w:val="22"/>
        </w:rPr>
        <w:t xml:space="preserve"> – including 15.3% of males and 10.2% of females -</w:t>
      </w:r>
      <w:r w:rsidRPr="00E2314F">
        <w:rPr>
          <w:rFonts w:ascii="Calibri" w:hAnsi="Calibri"/>
          <w:color w:val="000000"/>
          <w:sz w:val="22"/>
          <w:szCs w:val="22"/>
        </w:rPr>
        <w:t xml:space="preserve"> compared with </w:t>
      </w:r>
      <w:r>
        <w:rPr>
          <w:rFonts w:ascii="Calibri" w:hAnsi="Calibri"/>
          <w:color w:val="000000"/>
          <w:sz w:val="22"/>
          <w:szCs w:val="22"/>
        </w:rPr>
        <w:t>8.3</w:t>
      </w:r>
      <w:r w:rsidRPr="00E2314F">
        <w:rPr>
          <w:rFonts w:ascii="Calibri" w:hAnsi="Calibri"/>
          <w:color w:val="000000"/>
          <w:sz w:val="22"/>
          <w:szCs w:val="22"/>
        </w:rPr>
        <w:t xml:space="preserve">% across </w:t>
      </w:r>
      <w:r>
        <w:rPr>
          <w:rFonts w:ascii="Calibri" w:hAnsi="Calibri"/>
          <w:color w:val="000000"/>
          <w:sz w:val="22"/>
          <w:szCs w:val="22"/>
        </w:rPr>
        <w:t>Melbourne</w:t>
      </w:r>
      <w:r w:rsidRPr="00E2314F">
        <w:rPr>
          <w:rFonts w:ascii="Calibri" w:hAnsi="Calibri"/>
          <w:color w:val="000000"/>
          <w:sz w:val="22"/>
          <w:szCs w:val="22"/>
        </w:rPr>
        <w:t xml:space="preserve">. </w:t>
      </w:r>
    </w:p>
    <w:p w14:paraId="29936635"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map below illustrates the prevalence of early school leaving among 20-24 year-olds, showing high rates in portions of the middle and outer municipalities, including Melton, </w:t>
      </w:r>
      <w:proofErr w:type="spellStart"/>
      <w:r>
        <w:rPr>
          <w:rFonts w:ascii="Calibri" w:hAnsi="Calibri"/>
          <w:color w:val="000000"/>
          <w:sz w:val="22"/>
          <w:szCs w:val="22"/>
        </w:rPr>
        <w:t>Werribee</w:t>
      </w:r>
      <w:proofErr w:type="spellEnd"/>
      <w:r>
        <w:rPr>
          <w:rFonts w:ascii="Calibri" w:hAnsi="Calibri"/>
          <w:color w:val="000000"/>
          <w:sz w:val="22"/>
          <w:szCs w:val="22"/>
        </w:rPr>
        <w:t xml:space="preserve"> and Broadmeadows in the northwest as well as Dandenong, Cranbourne, Pakenham and Frankston North to the south.</w:t>
      </w:r>
    </w:p>
    <w:p w14:paraId="16C4B5E1" w14:textId="77777777" w:rsidR="008E3AA6" w:rsidRPr="003C5DEF" w:rsidRDefault="008E3AA6" w:rsidP="008E3AA6">
      <w:pPr>
        <w:tabs>
          <w:tab w:val="left" w:pos="4820"/>
        </w:tabs>
        <w:jc w:val="both"/>
        <w:rPr>
          <w:rFonts w:ascii="Calibri" w:hAnsi="Calibri"/>
          <w:color w:val="7F7F7F"/>
        </w:rPr>
      </w:pPr>
      <w:r w:rsidRPr="003C5DEF">
        <w:rPr>
          <w:rFonts w:ascii="Calibri" w:hAnsi="Calibri"/>
          <w:color w:val="7F7F7F"/>
        </w:rPr>
        <w:t>Percentage of Persons who had left School before Completing Year 11, metropolitan Melbourne, 2016</w:t>
      </w:r>
    </w:p>
    <w:p w14:paraId="13823C2D" w14:textId="77777777" w:rsidR="008E3AA6" w:rsidRDefault="008E3AA6" w:rsidP="008E3AA6">
      <w:pPr>
        <w:tabs>
          <w:tab w:val="left" w:pos="4820"/>
        </w:tabs>
        <w:jc w:val="center"/>
        <w:rPr>
          <w:rFonts w:ascii="Calibri" w:hAnsi="Calibri"/>
          <w:b/>
          <w:color w:val="7F7F7F"/>
          <w:sz w:val="22"/>
          <w:szCs w:val="22"/>
        </w:rPr>
      </w:pPr>
      <w:r>
        <w:rPr>
          <w:rFonts w:ascii="Calibri" w:hAnsi="Calibri"/>
          <w:b/>
          <w:noProof/>
          <w:color w:val="7F7F7F"/>
          <w:sz w:val="22"/>
          <w:szCs w:val="22"/>
          <w:lang w:val="en-AU" w:eastAsia="en-AU"/>
        </w:rPr>
        <w:drawing>
          <wp:inline distT="0" distB="0" distL="0" distR="0" wp14:anchorId="5E8C582F" wp14:editId="491FEC33">
            <wp:extent cx="5144494" cy="58130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Left School Early 20-24 (%) B.jpg"/>
                    <pic:cNvPicPr/>
                  </pic:nvPicPr>
                  <pic:blipFill rotWithShape="1">
                    <a:blip r:embed="rId15" cstate="print">
                      <a:extLst>
                        <a:ext uri="{28A0092B-C50C-407E-A947-70E740481C1C}">
                          <a14:useLocalDpi xmlns:a14="http://schemas.microsoft.com/office/drawing/2010/main" val="0"/>
                        </a:ext>
                      </a:extLst>
                    </a:blip>
                    <a:srcRect b="2074"/>
                    <a:stretch/>
                  </pic:blipFill>
                  <pic:spPr bwMode="auto">
                    <a:xfrm>
                      <a:off x="0" y="0"/>
                      <a:ext cx="5145718" cy="581439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64B501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Rates of early school leaving among young people within Greater Dandenong, range from 25% in Dandenong, 14% in Dandenong North, approximately 10% in Noble Park and Springvale, and lower in Noble Park North ((8.6%), Springvale South (7.4%) and </w:t>
      </w:r>
      <w:proofErr w:type="spellStart"/>
      <w:r>
        <w:rPr>
          <w:rFonts w:ascii="Calibri" w:hAnsi="Calibri"/>
          <w:color w:val="000000"/>
          <w:sz w:val="22"/>
          <w:szCs w:val="22"/>
        </w:rPr>
        <w:t>Keysborough</w:t>
      </w:r>
      <w:proofErr w:type="spellEnd"/>
      <w:r>
        <w:rPr>
          <w:rFonts w:ascii="Calibri" w:hAnsi="Calibri"/>
          <w:color w:val="000000"/>
          <w:sz w:val="22"/>
          <w:szCs w:val="22"/>
        </w:rPr>
        <w:t xml:space="preserve"> (5.8%).</w:t>
      </w:r>
    </w:p>
    <w:p w14:paraId="124CF9C6"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Among residents aged 15 years or more in Greater Dandenong, 32% had left school early, compared with 27% of those across Victoria.</w:t>
      </w:r>
    </w:p>
    <w:p w14:paraId="2E16CBDD" w14:textId="77777777" w:rsidR="008E3AA6" w:rsidRPr="000638A1" w:rsidRDefault="008E3AA6" w:rsidP="008E3AA6">
      <w:pPr>
        <w:tabs>
          <w:tab w:val="left" w:pos="284"/>
        </w:tabs>
        <w:spacing w:after="60"/>
        <w:jc w:val="both"/>
        <w:rPr>
          <w:rFonts w:ascii="Calibri" w:hAnsi="Calibri"/>
          <w:i/>
          <w:color w:val="000000"/>
          <w:sz w:val="22"/>
          <w:szCs w:val="22"/>
        </w:rPr>
      </w:pPr>
      <w:r>
        <w:rPr>
          <w:rFonts w:ascii="Calibri" w:hAnsi="Calibri"/>
          <w:i/>
          <w:color w:val="000000"/>
          <w:sz w:val="22"/>
          <w:szCs w:val="22"/>
        </w:rPr>
        <w:lastRenderedPageBreak/>
        <w:t xml:space="preserve">Historic Trends                                                         </w:t>
      </w:r>
      <w:r w:rsidRPr="00BD7212">
        <w:rPr>
          <w:rFonts w:ascii="Calibri" w:hAnsi="Calibri"/>
          <w:color w:val="7F7F7F"/>
        </w:rPr>
        <w:t>Early School Leaving by Age: Greater Dandenong, 201</w:t>
      </w:r>
      <w:r>
        <w:rPr>
          <w:rFonts w:ascii="Calibri" w:hAnsi="Calibri"/>
          <w:color w:val="7F7F7F"/>
        </w:rPr>
        <w:t>6</w:t>
      </w:r>
    </w:p>
    <w:p w14:paraId="3B97BA32"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5408" behindDoc="0" locked="0" layoutInCell="1" allowOverlap="1" wp14:anchorId="68B5344C" wp14:editId="0AA4244D">
            <wp:simplePos x="0" y="0"/>
            <wp:positionH relativeFrom="column">
              <wp:posOffset>1809115</wp:posOffset>
            </wp:positionH>
            <wp:positionV relativeFrom="paragraph">
              <wp:posOffset>1456055</wp:posOffset>
            </wp:positionV>
            <wp:extent cx="594360" cy="492760"/>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32.jpg"/>
                    <pic:cNvPicPr/>
                  </pic:nvPicPr>
                  <pic:blipFill rotWithShape="1">
                    <a:blip r:embed="rId16" cstate="print">
                      <a:extLst>
                        <a:ext uri="{28A0092B-C50C-407E-A947-70E740481C1C}">
                          <a14:useLocalDpi xmlns:a14="http://schemas.microsoft.com/office/drawing/2010/main" val="0"/>
                        </a:ext>
                      </a:extLst>
                    </a:blip>
                    <a:srcRect t="21138"/>
                    <a:stretch/>
                  </pic:blipFill>
                  <pic:spPr bwMode="auto">
                    <a:xfrm>
                      <a:off x="0" y="0"/>
                      <a:ext cx="594360" cy="492760"/>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color w:val="000000"/>
          <w:sz w:val="22"/>
          <w:szCs w:val="22"/>
          <w:lang w:val="en-AU" w:eastAsia="en-AU"/>
        </w:rPr>
        <w:drawing>
          <wp:anchor distT="0" distB="0" distL="114300" distR="114300" simplePos="0" relativeHeight="251664384" behindDoc="0" locked="0" layoutInCell="1" allowOverlap="1" wp14:anchorId="56114589" wp14:editId="6FA56F02">
            <wp:simplePos x="0" y="0"/>
            <wp:positionH relativeFrom="column">
              <wp:posOffset>1459865</wp:posOffset>
            </wp:positionH>
            <wp:positionV relativeFrom="paragraph">
              <wp:posOffset>6985</wp:posOffset>
            </wp:positionV>
            <wp:extent cx="4664075" cy="2949575"/>
            <wp:effectExtent l="0" t="0" r="3175"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4075" cy="2949575"/>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 xml:space="preserve">Since education levels have increased over the past few generations, it is scarcely surprising that the rate of early school leaving among residents of Greater Dandenong is highest among older </w:t>
      </w:r>
      <w:r>
        <w:rPr>
          <w:rFonts w:ascii="Calibri" w:hAnsi="Calibri"/>
          <w:color w:val="000000"/>
          <w:sz w:val="22"/>
          <w:szCs w:val="22"/>
        </w:rPr>
        <w:t>people</w:t>
      </w:r>
      <w:r w:rsidRPr="00E2314F">
        <w:rPr>
          <w:rFonts w:ascii="Calibri" w:hAnsi="Calibri"/>
          <w:color w:val="000000"/>
          <w:sz w:val="22"/>
          <w:szCs w:val="22"/>
        </w:rPr>
        <w:t>, rising from 13% among those aged 20-24, to one-third of residents aged 60-64 and more than three-quarters of those over 85.</w:t>
      </w:r>
    </w:p>
    <w:p w14:paraId="46CEF2FF"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Notably, among younger people aged 20-24 years old, the rate of early school leaving among males is substantially higher than the corresponding rate among females (15.3% compared with 10.2%). Among older residents though, this trend is reversed, with a higher proportion of females than males having left school early.</w:t>
      </w:r>
    </w:p>
    <w:p w14:paraId="0C4CEA85" w14:textId="77777777" w:rsidR="008E3AA6" w:rsidRDefault="008E3AA6" w:rsidP="008E3AA6">
      <w:pPr>
        <w:tabs>
          <w:tab w:val="left" w:pos="284"/>
        </w:tabs>
        <w:spacing w:after="60"/>
        <w:jc w:val="both"/>
        <w:rPr>
          <w:rFonts w:ascii="Calibri" w:hAnsi="Calibri"/>
          <w:i/>
          <w:color w:val="000000"/>
          <w:sz w:val="22"/>
          <w:szCs w:val="22"/>
        </w:rPr>
      </w:pPr>
    </w:p>
    <w:p w14:paraId="7DCDA789" w14:textId="77777777" w:rsidR="008E3AA6" w:rsidRDefault="008E3AA6" w:rsidP="008E3AA6">
      <w:pPr>
        <w:tabs>
          <w:tab w:val="left" w:pos="284"/>
        </w:tabs>
        <w:spacing w:after="60"/>
        <w:jc w:val="both"/>
        <w:rPr>
          <w:rFonts w:ascii="Calibri" w:hAnsi="Calibri"/>
          <w:i/>
          <w:color w:val="000000"/>
          <w:sz w:val="22"/>
          <w:szCs w:val="22"/>
        </w:rPr>
      </w:pPr>
    </w:p>
    <w:p w14:paraId="55A12DF3" w14:textId="77777777" w:rsidR="008E3AA6" w:rsidRPr="000638A1" w:rsidRDefault="008E3AA6" w:rsidP="008E3AA6">
      <w:pPr>
        <w:tabs>
          <w:tab w:val="left" w:pos="284"/>
        </w:tabs>
        <w:spacing w:after="60"/>
        <w:jc w:val="both"/>
        <w:rPr>
          <w:rFonts w:ascii="Calibri" w:hAnsi="Calibri"/>
          <w:i/>
          <w:color w:val="000000"/>
          <w:sz w:val="22"/>
          <w:szCs w:val="22"/>
        </w:rPr>
      </w:pPr>
      <w:r>
        <w:rPr>
          <w:rFonts w:ascii="Calibri" w:hAnsi="Calibri"/>
          <w:i/>
          <w:color w:val="000000"/>
          <w:sz w:val="22"/>
          <w:szCs w:val="22"/>
        </w:rPr>
        <w:t xml:space="preserve">Early School Leaving and Birthplaces       </w:t>
      </w:r>
      <w:r w:rsidRPr="00543432">
        <w:rPr>
          <w:rFonts w:ascii="Calibri" w:hAnsi="Calibri"/>
          <w:color w:val="7F7F7F"/>
        </w:rPr>
        <w:t>Rates of Early School Leaving by Birthplace: Greater Dandenong, 2016</w:t>
      </w:r>
    </w:p>
    <w:p w14:paraId="236CB4C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59264" behindDoc="0" locked="0" layoutInCell="1" allowOverlap="1" wp14:anchorId="38A0A28D" wp14:editId="0588DAC3">
            <wp:simplePos x="0" y="0"/>
            <wp:positionH relativeFrom="column">
              <wp:posOffset>1625600</wp:posOffset>
            </wp:positionH>
            <wp:positionV relativeFrom="paragraph">
              <wp:posOffset>31750</wp:posOffset>
            </wp:positionV>
            <wp:extent cx="4401185" cy="3210560"/>
            <wp:effectExtent l="0" t="0" r="0" b="889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1185" cy="32105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 xml:space="preserve">In 2016, 69% of 20-24 year-old residents who had left school before completing year 11 were born overseas. </w:t>
      </w:r>
    </w:p>
    <w:p w14:paraId="1C60B0B5"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The proportion  of young adults from selected birthplaces who had left school early, is illustrated in the accompanying diagram and ranges from over 40% among young people from Afghanistan, Burma and Somalia, to fewer than 6% of those from India, Sri Lanka, Vietnam and China.</w:t>
      </w:r>
    </w:p>
    <w:p w14:paraId="4467C4E1" w14:textId="77777777" w:rsidR="008E3AA6" w:rsidRDefault="008E3AA6" w:rsidP="008E3AA6">
      <w:pPr>
        <w:tabs>
          <w:tab w:val="left" w:pos="4820"/>
        </w:tabs>
        <w:jc w:val="both"/>
        <w:rPr>
          <w:rFonts w:ascii="Calibri" w:hAnsi="Calibri"/>
          <w:b/>
          <w:color w:val="7F7F7F"/>
          <w:sz w:val="22"/>
          <w:szCs w:val="22"/>
        </w:rPr>
      </w:pPr>
    </w:p>
    <w:p w14:paraId="5BF8BD42" w14:textId="77777777" w:rsidR="008E3AA6" w:rsidRDefault="008E3AA6" w:rsidP="008E3AA6">
      <w:pPr>
        <w:tabs>
          <w:tab w:val="left" w:pos="4820"/>
        </w:tabs>
        <w:jc w:val="both"/>
        <w:rPr>
          <w:rFonts w:ascii="Calibri" w:hAnsi="Calibri"/>
          <w:b/>
          <w:color w:val="7F7F7F"/>
          <w:sz w:val="22"/>
          <w:szCs w:val="22"/>
        </w:rPr>
      </w:pPr>
    </w:p>
    <w:p w14:paraId="70817ECA" w14:textId="77777777" w:rsidR="008E3AA6" w:rsidRPr="00E2314F" w:rsidRDefault="008E3AA6" w:rsidP="008E3AA6">
      <w:pPr>
        <w:tabs>
          <w:tab w:val="left" w:pos="6237"/>
        </w:tabs>
        <w:jc w:val="both"/>
        <w:rPr>
          <w:rFonts w:ascii="Calibri" w:hAnsi="Calibri"/>
          <w:b/>
          <w:color w:val="000000"/>
          <w:sz w:val="22"/>
          <w:szCs w:val="22"/>
        </w:rPr>
      </w:pPr>
      <w:r w:rsidRPr="00BD7212">
        <w:rPr>
          <w:rFonts w:ascii="Calibri" w:hAnsi="Calibri"/>
          <w:color w:val="7F7F7F"/>
        </w:rPr>
        <w:lastRenderedPageBreak/>
        <w:t xml:space="preserve">TAFE and University Attendance: 20-24 year </w:t>
      </w:r>
      <w:proofErr w:type="spellStart"/>
      <w:r w:rsidRPr="00BD7212">
        <w:rPr>
          <w:rFonts w:ascii="Calibri" w:hAnsi="Calibri"/>
          <w:color w:val="7F7F7F"/>
        </w:rPr>
        <w:t>olds</w:t>
      </w:r>
      <w:proofErr w:type="spellEnd"/>
      <w:r w:rsidRPr="00BD7212">
        <w:rPr>
          <w:rFonts w:ascii="Calibri" w:hAnsi="Calibri"/>
          <w:color w:val="7F7F7F"/>
        </w:rPr>
        <w:t>,</w:t>
      </w:r>
      <w:r w:rsidRPr="009A30E0">
        <w:rPr>
          <w:rFonts w:ascii="Calibri" w:hAnsi="Calibri"/>
          <w:b/>
          <w:color w:val="7F7F7F"/>
          <w:sz w:val="22"/>
          <w:szCs w:val="22"/>
        </w:rPr>
        <w:t xml:space="preserve"> </w:t>
      </w:r>
      <w:r>
        <w:rPr>
          <w:rFonts w:ascii="Calibri" w:hAnsi="Calibri"/>
          <w:b/>
          <w:color w:val="000000"/>
          <w:sz w:val="22"/>
          <w:szCs w:val="22"/>
        </w:rPr>
        <w:tab/>
      </w:r>
      <w:r w:rsidRPr="00E2314F">
        <w:rPr>
          <w:rFonts w:ascii="Calibri" w:hAnsi="Calibri"/>
          <w:b/>
          <w:color w:val="000000"/>
          <w:sz w:val="22"/>
          <w:szCs w:val="22"/>
        </w:rPr>
        <w:t>Tertiary Participation Rates</w:t>
      </w:r>
    </w:p>
    <w:p w14:paraId="32EA0837" w14:textId="77777777" w:rsidR="008E3AA6" w:rsidRDefault="008E3AA6" w:rsidP="008E3AA6">
      <w:pPr>
        <w:tabs>
          <w:tab w:val="left" w:pos="4678"/>
        </w:tabs>
        <w:spacing w:line="360" w:lineRule="auto"/>
        <w:jc w:val="both"/>
        <w:rPr>
          <w:rFonts w:ascii="Calibri" w:hAnsi="Calibri"/>
          <w:b/>
          <w:color w:val="7F7F7F"/>
          <w:sz w:val="22"/>
          <w:szCs w:val="22"/>
        </w:rPr>
      </w:pPr>
      <w:r w:rsidRPr="00BD7212">
        <w:rPr>
          <w:rFonts w:ascii="Calibri" w:hAnsi="Calibri"/>
          <w:color w:val="7F7F7F"/>
        </w:rPr>
        <w:t>Greater Dandenong, 201</w:t>
      </w:r>
      <w:r>
        <w:rPr>
          <w:rFonts w:ascii="Calibri" w:hAnsi="Calibri"/>
          <w:color w:val="7F7F7F"/>
        </w:rPr>
        <w:t>7</w:t>
      </w:r>
      <w:r w:rsidRPr="009A30E0">
        <w:rPr>
          <w:rFonts w:ascii="Calibri" w:hAnsi="Calibri"/>
          <w:b/>
          <w:color w:val="7F7F7F"/>
          <w:sz w:val="22"/>
          <w:szCs w:val="22"/>
        </w:rPr>
        <w:tab/>
      </w:r>
    </w:p>
    <w:p w14:paraId="5749F122" w14:textId="77777777" w:rsidR="008E3AA6" w:rsidRPr="001F6E06" w:rsidRDefault="008E3AA6" w:rsidP="008E3AA6">
      <w:pPr>
        <w:tabs>
          <w:tab w:val="left" w:pos="4678"/>
        </w:tabs>
        <w:spacing w:line="360" w:lineRule="auto"/>
        <w:jc w:val="both"/>
        <w:rPr>
          <w:rFonts w:ascii="Calibri" w:hAnsi="Calibri"/>
          <w:b/>
          <w:color w:val="7F7F7F"/>
          <w:sz w:val="22"/>
          <w:szCs w:val="22"/>
        </w:rPr>
      </w:pPr>
      <w:r>
        <w:rPr>
          <w:rFonts w:ascii="Calibri" w:hAnsi="Calibri"/>
          <w:b/>
          <w:noProof/>
          <w:color w:val="7F7F7F"/>
          <w:sz w:val="22"/>
          <w:szCs w:val="22"/>
          <w:lang w:val="en-AU" w:eastAsia="en-AU"/>
        </w:rPr>
        <w:drawing>
          <wp:anchor distT="0" distB="0" distL="114300" distR="114300" simplePos="0" relativeHeight="251660288" behindDoc="0" locked="0" layoutInCell="1" allowOverlap="1" wp14:anchorId="6E3D0EA7" wp14:editId="37681621">
            <wp:simplePos x="0" y="0"/>
            <wp:positionH relativeFrom="column">
              <wp:posOffset>3810</wp:posOffset>
            </wp:positionH>
            <wp:positionV relativeFrom="paragraph">
              <wp:posOffset>24130</wp:posOffset>
            </wp:positionV>
            <wp:extent cx="3156585" cy="2324100"/>
            <wp:effectExtent l="0" t="0" r="571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6585" cy="2324100"/>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 xml:space="preserve">Levels of attendance at university among young adults in Greater Dandenong are lower than </w:t>
      </w:r>
      <w:r>
        <w:rPr>
          <w:rFonts w:ascii="Calibri" w:hAnsi="Calibri"/>
          <w:color w:val="000000"/>
          <w:sz w:val="22"/>
          <w:szCs w:val="22"/>
        </w:rPr>
        <w:t xml:space="preserve">the </w:t>
      </w:r>
      <w:r w:rsidRPr="00E2314F">
        <w:rPr>
          <w:rFonts w:ascii="Calibri" w:hAnsi="Calibri"/>
          <w:color w:val="000000"/>
          <w:sz w:val="22"/>
          <w:szCs w:val="22"/>
        </w:rPr>
        <w:t xml:space="preserve">metropolitan </w:t>
      </w:r>
      <w:r>
        <w:rPr>
          <w:rFonts w:ascii="Calibri" w:hAnsi="Calibri"/>
          <w:color w:val="000000"/>
          <w:sz w:val="22"/>
          <w:szCs w:val="22"/>
        </w:rPr>
        <w:t>average</w:t>
      </w:r>
      <w:r w:rsidRPr="00E2314F">
        <w:rPr>
          <w:rFonts w:ascii="Calibri" w:hAnsi="Calibri"/>
          <w:color w:val="000000"/>
          <w:sz w:val="22"/>
          <w:szCs w:val="22"/>
        </w:rPr>
        <w:t xml:space="preserve">, with </w:t>
      </w:r>
      <w:r>
        <w:rPr>
          <w:rFonts w:ascii="Calibri" w:hAnsi="Calibri"/>
          <w:color w:val="000000"/>
          <w:sz w:val="22"/>
          <w:szCs w:val="22"/>
        </w:rPr>
        <w:t>31</w:t>
      </w:r>
      <w:r w:rsidRPr="00E2314F">
        <w:rPr>
          <w:rFonts w:ascii="Calibri" w:hAnsi="Calibri"/>
          <w:color w:val="000000"/>
          <w:sz w:val="22"/>
          <w:szCs w:val="22"/>
        </w:rPr>
        <w:t xml:space="preserve">% of local 20-24 year-olds attending university or other tertiary </w:t>
      </w:r>
      <w:r>
        <w:rPr>
          <w:rFonts w:ascii="Calibri" w:hAnsi="Calibri"/>
          <w:color w:val="000000"/>
          <w:sz w:val="22"/>
          <w:szCs w:val="22"/>
        </w:rPr>
        <w:t>institutions (up from 23% in 2011)</w:t>
      </w:r>
      <w:r w:rsidRPr="00E2314F">
        <w:rPr>
          <w:rFonts w:ascii="Calibri" w:hAnsi="Calibri"/>
          <w:color w:val="000000"/>
          <w:sz w:val="22"/>
          <w:szCs w:val="22"/>
        </w:rPr>
        <w:t xml:space="preserve">, </w:t>
      </w:r>
      <w:r>
        <w:rPr>
          <w:rFonts w:ascii="Calibri" w:hAnsi="Calibri"/>
          <w:color w:val="000000"/>
          <w:sz w:val="22"/>
          <w:szCs w:val="22"/>
        </w:rPr>
        <w:t>compared with</w:t>
      </w:r>
      <w:r w:rsidRPr="00E2314F">
        <w:rPr>
          <w:rFonts w:ascii="Calibri" w:hAnsi="Calibri"/>
          <w:color w:val="000000"/>
          <w:sz w:val="22"/>
          <w:szCs w:val="22"/>
        </w:rPr>
        <w:t xml:space="preserve"> </w:t>
      </w:r>
      <w:r>
        <w:rPr>
          <w:rFonts w:ascii="Calibri" w:hAnsi="Calibri"/>
          <w:color w:val="000000"/>
          <w:sz w:val="22"/>
          <w:szCs w:val="22"/>
        </w:rPr>
        <w:t>40</w:t>
      </w:r>
      <w:r w:rsidRPr="00E2314F">
        <w:rPr>
          <w:rFonts w:ascii="Calibri" w:hAnsi="Calibri"/>
          <w:color w:val="000000"/>
          <w:sz w:val="22"/>
          <w:szCs w:val="22"/>
        </w:rPr>
        <w:t>% across Melbourne.</w:t>
      </w:r>
    </w:p>
    <w:p w14:paraId="4AB4864F" w14:textId="77777777" w:rsidR="008E3AA6" w:rsidRDefault="008E3AA6" w:rsidP="008E3AA6">
      <w:pPr>
        <w:tabs>
          <w:tab w:val="left" w:pos="426"/>
          <w:tab w:val="left" w:pos="3261"/>
        </w:tabs>
        <w:spacing w:line="360" w:lineRule="auto"/>
        <w:jc w:val="both"/>
        <w:rPr>
          <w:rFonts w:ascii="Calibri" w:hAnsi="Calibri"/>
          <w:color w:val="000000"/>
          <w:sz w:val="22"/>
          <w:szCs w:val="22"/>
        </w:rPr>
      </w:pPr>
      <w:r>
        <w:rPr>
          <w:rFonts w:ascii="Calibri" w:hAnsi="Calibri"/>
          <w:color w:val="000000"/>
          <w:sz w:val="22"/>
          <w:szCs w:val="22"/>
        </w:rPr>
        <w:t>Rates of a</w:t>
      </w:r>
      <w:r w:rsidRPr="00E2314F">
        <w:rPr>
          <w:rFonts w:ascii="Calibri" w:hAnsi="Calibri"/>
          <w:color w:val="000000"/>
          <w:sz w:val="22"/>
          <w:szCs w:val="22"/>
        </w:rPr>
        <w:t xml:space="preserve">ttendance at TAFE </w:t>
      </w:r>
      <w:r>
        <w:rPr>
          <w:rFonts w:ascii="Calibri" w:hAnsi="Calibri"/>
          <w:color w:val="000000"/>
          <w:sz w:val="22"/>
          <w:szCs w:val="22"/>
        </w:rPr>
        <w:t>though</w:t>
      </w:r>
      <w:r w:rsidRPr="00E2314F">
        <w:rPr>
          <w:rFonts w:ascii="Calibri" w:hAnsi="Calibri"/>
          <w:color w:val="000000"/>
          <w:sz w:val="22"/>
          <w:szCs w:val="22"/>
        </w:rPr>
        <w:t xml:space="preserve">, </w:t>
      </w:r>
      <w:r>
        <w:rPr>
          <w:rFonts w:ascii="Calibri" w:hAnsi="Calibri"/>
          <w:color w:val="000000"/>
          <w:sz w:val="22"/>
          <w:szCs w:val="22"/>
        </w:rPr>
        <w:t>are</w:t>
      </w:r>
      <w:r w:rsidRPr="00E2314F">
        <w:rPr>
          <w:rFonts w:ascii="Calibri" w:hAnsi="Calibri"/>
          <w:color w:val="000000"/>
          <w:sz w:val="22"/>
          <w:szCs w:val="22"/>
        </w:rPr>
        <w:t xml:space="preserve"> relatively high, with </w:t>
      </w:r>
      <w:r>
        <w:rPr>
          <w:rFonts w:ascii="Calibri" w:hAnsi="Calibri"/>
          <w:color w:val="000000"/>
          <w:sz w:val="22"/>
          <w:szCs w:val="22"/>
        </w:rPr>
        <w:t>10</w:t>
      </w:r>
      <w:r w:rsidRPr="00E2314F">
        <w:rPr>
          <w:rFonts w:ascii="Calibri" w:hAnsi="Calibri"/>
          <w:color w:val="000000"/>
          <w:sz w:val="22"/>
          <w:szCs w:val="22"/>
        </w:rPr>
        <w:t xml:space="preserve">% of 20-24 year-olds </w:t>
      </w:r>
      <w:r>
        <w:rPr>
          <w:rFonts w:ascii="Calibri" w:hAnsi="Calibri"/>
          <w:color w:val="000000"/>
          <w:sz w:val="22"/>
          <w:szCs w:val="22"/>
        </w:rPr>
        <w:t xml:space="preserve">in Greater Dandenong </w:t>
      </w:r>
      <w:r w:rsidRPr="00E2314F">
        <w:rPr>
          <w:rFonts w:ascii="Calibri" w:hAnsi="Calibri"/>
          <w:color w:val="000000"/>
          <w:sz w:val="22"/>
          <w:szCs w:val="22"/>
        </w:rPr>
        <w:t xml:space="preserve">attending TAFE, compared with </w:t>
      </w:r>
      <w:r>
        <w:rPr>
          <w:rFonts w:ascii="Calibri" w:hAnsi="Calibri"/>
          <w:color w:val="000000"/>
          <w:sz w:val="22"/>
          <w:szCs w:val="22"/>
        </w:rPr>
        <w:t>6.7</w:t>
      </w:r>
      <w:r w:rsidRPr="00E2314F">
        <w:rPr>
          <w:rFonts w:ascii="Calibri" w:hAnsi="Calibri"/>
          <w:color w:val="000000"/>
          <w:sz w:val="22"/>
          <w:szCs w:val="22"/>
        </w:rPr>
        <w:t xml:space="preserve">% of Victorian residents </w:t>
      </w:r>
      <w:r>
        <w:rPr>
          <w:rFonts w:ascii="Calibri" w:hAnsi="Calibri"/>
          <w:color w:val="000000"/>
          <w:sz w:val="22"/>
          <w:szCs w:val="22"/>
        </w:rPr>
        <w:t>that</w:t>
      </w:r>
      <w:r w:rsidRPr="00E2314F">
        <w:rPr>
          <w:rFonts w:ascii="Calibri" w:hAnsi="Calibri"/>
          <w:color w:val="000000"/>
          <w:sz w:val="22"/>
          <w:szCs w:val="22"/>
        </w:rPr>
        <w:t xml:space="preserve"> age.</w:t>
      </w:r>
    </w:p>
    <w:p w14:paraId="0A916031" w14:textId="77777777" w:rsidR="008E3AA6" w:rsidRPr="002227A1" w:rsidRDefault="008E3AA6" w:rsidP="008E3AA6">
      <w:pPr>
        <w:tabs>
          <w:tab w:val="left" w:pos="426"/>
          <w:tab w:val="left" w:pos="3261"/>
        </w:tabs>
        <w:spacing w:before="60"/>
        <w:jc w:val="both"/>
        <w:rPr>
          <w:rFonts w:ascii="Calibri" w:hAnsi="Calibri"/>
          <w:color w:val="7F7F7F"/>
        </w:rPr>
      </w:pPr>
      <w:r w:rsidRPr="002227A1">
        <w:rPr>
          <w:rFonts w:ascii="Calibri" w:hAnsi="Calibri"/>
          <w:color w:val="7F7F7F"/>
        </w:rPr>
        <w:t>Qualifications: Greater Dandenong and Victoria, 201</w:t>
      </w:r>
      <w:r>
        <w:rPr>
          <w:rFonts w:ascii="Calibri" w:hAnsi="Calibri"/>
          <w:color w:val="7F7F7F"/>
        </w:rPr>
        <w:t>6</w:t>
      </w:r>
    </w:p>
    <w:p w14:paraId="0623E2F7" w14:textId="77777777" w:rsidR="008E3AA6" w:rsidRPr="009A30E0" w:rsidRDefault="008E3AA6" w:rsidP="008E3AA6">
      <w:pPr>
        <w:tabs>
          <w:tab w:val="left" w:pos="426"/>
          <w:tab w:val="left" w:pos="3261"/>
        </w:tabs>
        <w:spacing w:before="60"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7456" behindDoc="0" locked="0" layoutInCell="1" allowOverlap="1" wp14:anchorId="2F25B466" wp14:editId="548680AC">
            <wp:simplePos x="0" y="0"/>
            <wp:positionH relativeFrom="column">
              <wp:posOffset>3175</wp:posOffset>
            </wp:positionH>
            <wp:positionV relativeFrom="paragraph">
              <wp:posOffset>77470</wp:posOffset>
            </wp:positionV>
            <wp:extent cx="3417570" cy="27508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7570" cy="2750820"/>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b/>
          <w:noProof/>
          <w:sz w:val="22"/>
          <w:szCs w:val="22"/>
        </w:rPr>
        <w:t>Qualifications</w:t>
      </w:r>
    </w:p>
    <w:p w14:paraId="29C6C2D2" w14:textId="77777777" w:rsidR="008E3AA6" w:rsidRPr="00E2314F" w:rsidRDefault="008E3AA6" w:rsidP="008E3AA6">
      <w:pPr>
        <w:tabs>
          <w:tab w:val="left" w:pos="426"/>
          <w:tab w:val="left" w:pos="3261"/>
        </w:tabs>
        <w:spacing w:before="60" w:after="60" w:line="360" w:lineRule="auto"/>
        <w:jc w:val="both"/>
        <w:rPr>
          <w:rFonts w:ascii="Calibri" w:hAnsi="Calibri"/>
          <w:color w:val="000000"/>
          <w:sz w:val="22"/>
          <w:szCs w:val="22"/>
        </w:rPr>
      </w:pPr>
      <w:r w:rsidRPr="00E2314F">
        <w:rPr>
          <w:rFonts w:ascii="Calibri" w:hAnsi="Calibri"/>
          <w:color w:val="000000"/>
          <w:sz w:val="22"/>
          <w:szCs w:val="22"/>
        </w:rPr>
        <w:t>Consideration of qualifications holds particular relevance for residents aged 25 to 44 years</w:t>
      </w:r>
      <w:r>
        <w:rPr>
          <w:rFonts w:ascii="Calibri" w:hAnsi="Calibri"/>
          <w:color w:val="000000"/>
          <w:sz w:val="22"/>
          <w:szCs w:val="22"/>
        </w:rPr>
        <w:t>, among whom employment levels are relatively high</w:t>
      </w:r>
      <w:r w:rsidRPr="00E2314F">
        <w:rPr>
          <w:rFonts w:ascii="Calibri" w:hAnsi="Calibri"/>
          <w:color w:val="000000"/>
          <w:sz w:val="22"/>
          <w:szCs w:val="22"/>
        </w:rPr>
        <w:t xml:space="preserve">. </w:t>
      </w:r>
    </w:p>
    <w:p w14:paraId="492CC8C2" w14:textId="77777777" w:rsidR="008E3AA6" w:rsidRDefault="008E3AA6" w:rsidP="008E3AA6">
      <w:pPr>
        <w:tabs>
          <w:tab w:val="left" w:pos="426"/>
          <w:tab w:val="left" w:pos="3261"/>
        </w:tabs>
        <w:spacing w:before="60" w:after="60" w:line="360" w:lineRule="auto"/>
        <w:jc w:val="both"/>
        <w:rPr>
          <w:rFonts w:ascii="Calibri" w:hAnsi="Calibri"/>
          <w:color w:val="000000"/>
          <w:sz w:val="22"/>
          <w:szCs w:val="22"/>
        </w:rPr>
      </w:pPr>
      <w:r>
        <w:rPr>
          <w:rFonts w:ascii="Calibri" w:hAnsi="Calibri"/>
          <w:color w:val="000000"/>
          <w:sz w:val="22"/>
          <w:szCs w:val="22"/>
        </w:rPr>
        <w:t>Within</w:t>
      </w:r>
      <w:r w:rsidRPr="00E2314F">
        <w:rPr>
          <w:rFonts w:ascii="Calibri" w:hAnsi="Calibri"/>
          <w:color w:val="000000"/>
          <w:sz w:val="22"/>
          <w:szCs w:val="22"/>
        </w:rPr>
        <w:t xml:space="preserve"> Greater Dandenong, nearly two-fifths </w:t>
      </w:r>
      <w:r>
        <w:rPr>
          <w:rFonts w:ascii="Calibri" w:hAnsi="Calibri"/>
          <w:color w:val="000000"/>
          <w:sz w:val="22"/>
          <w:szCs w:val="22"/>
        </w:rPr>
        <w:t xml:space="preserve">(38%) of residents in this age range </w:t>
      </w:r>
      <w:r w:rsidRPr="00E2314F">
        <w:rPr>
          <w:rFonts w:ascii="Calibri" w:hAnsi="Calibri"/>
          <w:color w:val="000000"/>
          <w:sz w:val="22"/>
          <w:szCs w:val="22"/>
        </w:rPr>
        <w:t>held no post-school qualification</w:t>
      </w:r>
      <w:r>
        <w:rPr>
          <w:rFonts w:ascii="Calibri" w:hAnsi="Calibri"/>
          <w:color w:val="000000"/>
          <w:sz w:val="22"/>
          <w:szCs w:val="22"/>
        </w:rPr>
        <w:t xml:space="preserve"> in 2016</w:t>
      </w:r>
      <w:r w:rsidRPr="00E2314F">
        <w:rPr>
          <w:rFonts w:ascii="Calibri" w:hAnsi="Calibri"/>
          <w:color w:val="000000"/>
          <w:sz w:val="22"/>
          <w:szCs w:val="22"/>
        </w:rPr>
        <w:t xml:space="preserve">. Their range of qualifications is illustrated in the accompanying chart. </w:t>
      </w:r>
    </w:p>
    <w:p w14:paraId="561E857B" w14:textId="77777777" w:rsidR="008E3AA6" w:rsidRDefault="008E3AA6" w:rsidP="008E3AA6">
      <w:pPr>
        <w:tabs>
          <w:tab w:val="left" w:pos="426"/>
          <w:tab w:val="left" w:pos="3261"/>
        </w:tabs>
        <w:spacing w:before="60" w:after="60" w:line="360" w:lineRule="auto"/>
        <w:jc w:val="both"/>
        <w:rPr>
          <w:rFonts w:ascii="Calibri" w:hAnsi="Calibri"/>
          <w:color w:val="000000"/>
          <w:sz w:val="22"/>
          <w:szCs w:val="22"/>
        </w:rPr>
      </w:pPr>
    </w:p>
    <w:p w14:paraId="6BF392B4" w14:textId="77777777" w:rsidR="008E3AA6" w:rsidRDefault="008E3AA6" w:rsidP="008E3AA6">
      <w:pPr>
        <w:tabs>
          <w:tab w:val="left" w:pos="284"/>
        </w:tabs>
        <w:jc w:val="both"/>
        <w:rPr>
          <w:rFonts w:ascii="Calibri" w:hAnsi="Calibri"/>
          <w:b/>
          <w:color w:val="000000"/>
          <w:sz w:val="22"/>
          <w:szCs w:val="22"/>
        </w:rPr>
      </w:pPr>
      <w:r w:rsidRPr="00E2314F">
        <w:rPr>
          <w:rFonts w:ascii="Calibri" w:hAnsi="Calibri"/>
          <w:b/>
          <w:color w:val="000000"/>
          <w:sz w:val="22"/>
          <w:szCs w:val="22"/>
        </w:rPr>
        <w:t>Education &amp; Employment Prospects</w:t>
      </w:r>
    </w:p>
    <w:p w14:paraId="7A4FE71E" w14:textId="77777777" w:rsidR="008E3AA6" w:rsidRDefault="008E3AA6" w:rsidP="008E3AA6">
      <w:pPr>
        <w:tabs>
          <w:tab w:val="left" w:pos="426"/>
          <w:tab w:val="left" w:pos="3261"/>
        </w:tabs>
        <w:spacing w:before="60"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6432" behindDoc="0" locked="0" layoutInCell="1" allowOverlap="1" wp14:anchorId="47033B99" wp14:editId="621232BF">
            <wp:simplePos x="0" y="0"/>
            <wp:positionH relativeFrom="column">
              <wp:posOffset>66040</wp:posOffset>
            </wp:positionH>
            <wp:positionV relativeFrom="paragraph">
              <wp:posOffset>603250</wp:posOffset>
            </wp:positionV>
            <wp:extent cx="3518535" cy="2313305"/>
            <wp:effectExtent l="0" t="0" r="571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679" t="15303" r="2196" b="16061"/>
                    <a:stretch/>
                  </pic:blipFill>
                  <pic:spPr bwMode="auto">
                    <a:xfrm>
                      <a:off x="0" y="0"/>
                      <a:ext cx="3518535" cy="2313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The 201</w:t>
      </w:r>
      <w:r>
        <w:rPr>
          <w:rFonts w:ascii="Calibri" w:hAnsi="Calibri"/>
          <w:color w:val="000000"/>
          <w:sz w:val="22"/>
          <w:szCs w:val="22"/>
        </w:rPr>
        <w:t>6</w:t>
      </w:r>
      <w:r w:rsidRPr="00E2314F">
        <w:rPr>
          <w:rFonts w:ascii="Calibri" w:hAnsi="Calibri"/>
          <w:color w:val="000000"/>
          <w:sz w:val="22"/>
          <w:szCs w:val="22"/>
        </w:rPr>
        <w:t xml:space="preserve"> Census found that, among </w:t>
      </w:r>
      <w:r>
        <w:rPr>
          <w:rFonts w:ascii="Calibri" w:hAnsi="Calibri"/>
          <w:color w:val="000000"/>
          <w:sz w:val="22"/>
          <w:szCs w:val="22"/>
        </w:rPr>
        <w:t>Greater Dandenong</w:t>
      </w:r>
      <w:r w:rsidRPr="00E2314F">
        <w:rPr>
          <w:rFonts w:ascii="Calibri" w:hAnsi="Calibri"/>
          <w:color w:val="000000"/>
          <w:sz w:val="22"/>
          <w:szCs w:val="22"/>
        </w:rPr>
        <w:t xml:space="preserve"> residents aged 30-39 years, </w:t>
      </w:r>
      <w:r>
        <w:rPr>
          <w:rFonts w:ascii="Calibri" w:hAnsi="Calibri"/>
          <w:color w:val="000000"/>
          <w:sz w:val="22"/>
          <w:szCs w:val="22"/>
        </w:rPr>
        <w:t>81</w:t>
      </w:r>
      <w:r w:rsidRPr="00E2314F">
        <w:rPr>
          <w:rFonts w:ascii="Calibri" w:hAnsi="Calibri"/>
          <w:color w:val="000000"/>
          <w:sz w:val="22"/>
          <w:szCs w:val="22"/>
        </w:rPr>
        <w:t xml:space="preserve">% </w:t>
      </w:r>
      <w:r>
        <w:rPr>
          <w:rFonts w:ascii="Calibri" w:hAnsi="Calibri"/>
          <w:color w:val="000000"/>
          <w:sz w:val="22"/>
          <w:szCs w:val="22"/>
        </w:rPr>
        <w:t xml:space="preserve">of those </w:t>
      </w:r>
      <w:r w:rsidRPr="00E2314F">
        <w:rPr>
          <w:rFonts w:ascii="Calibri" w:hAnsi="Calibri"/>
          <w:color w:val="000000"/>
          <w:sz w:val="22"/>
          <w:szCs w:val="22"/>
        </w:rPr>
        <w:t xml:space="preserve">with a degree were </w:t>
      </w:r>
      <w:r w:rsidRPr="00E2314F">
        <w:rPr>
          <w:rFonts w:ascii="Calibri" w:hAnsi="Calibri"/>
          <w:i/>
          <w:color w:val="000000"/>
          <w:sz w:val="22"/>
          <w:szCs w:val="22"/>
        </w:rPr>
        <w:t>employed</w:t>
      </w:r>
      <w:r w:rsidRPr="00E2314F">
        <w:rPr>
          <w:rFonts w:ascii="Calibri" w:hAnsi="Calibri"/>
          <w:color w:val="000000"/>
          <w:sz w:val="22"/>
          <w:szCs w:val="22"/>
        </w:rPr>
        <w:t xml:space="preserve">, compared with </w:t>
      </w:r>
      <w:r>
        <w:rPr>
          <w:rFonts w:ascii="Calibri" w:hAnsi="Calibri"/>
          <w:color w:val="000000"/>
          <w:sz w:val="22"/>
          <w:szCs w:val="22"/>
        </w:rPr>
        <w:t>48</w:t>
      </w:r>
      <w:r w:rsidRPr="00E2314F">
        <w:rPr>
          <w:rFonts w:ascii="Calibri" w:hAnsi="Calibri"/>
          <w:color w:val="000000"/>
          <w:sz w:val="22"/>
          <w:szCs w:val="22"/>
        </w:rPr>
        <w:t xml:space="preserve">% of </w:t>
      </w:r>
      <w:r>
        <w:rPr>
          <w:rFonts w:ascii="Calibri" w:hAnsi="Calibri"/>
          <w:color w:val="000000"/>
          <w:sz w:val="22"/>
          <w:szCs w:val="22"/>
        </w:rPr>
        <w:t>people</w:t>
      </w:r>
      <w:r w:rsidRPr="00E2314F">
        <w:rPr>
          <w:rFonts w:ascii="Calibri" w:hAnsi="Calibri"/>
          <w:color w:val="000000"/>
          <w:sz w:val="22"/>
          <w:szCs w:val="22"/>
        </w:rPr>
        <w:t xml:space="preserve"> who had left school before completing year 11. </w:t>
      </w:r>
    </w:p>
    <w:p w14:paraId="6662611B" w14:textId="77777777" w:rsidR="008E3AA6" w:rsidRDefault="008E3AA6" w:rsidP="008E3AA6">
      <w:pPr>
        <w:tabs>
          <w:tab w:val="left" w:pos="426"/>
          <w:tab w:val="left" w:pos="3261"/>
        </w:tabs>
        <w:jc w:val="both"/>
        <w:rPr>
          <w:rFonts w:ascii="Calibri" w:hAnsi="Calibri"/>
          <w:color w:val="000000"/>
          <w:sz w:val="12"/>
          <w:szCs w:val="12"/>
        </w:rPr>
      </w:pPr>
    </w:p>
    <w:p w14:paraId="673448B6" w14:textId="77777777" w:rsidR="008E3AA6" w:rsidRPr="00BA42DF" w:rsidRDefault="008E3AA6" w:rsidP="008E3AA6">
      <w:pPr>
        <w:tabs>
          <w:tab w:val="left" w:pos="426"/>
          <w:tab w:val="left" w:pos="3261"/>
        </w:tabs>
        <w:jc w:val="both"/>
        <w:rPr>
          <w:rFonts w:ascii="Calibri" w:hAnsi="Calibri"/>
          <w:color w:val="000000"/>
          <w:sz w:val="12"/>
          <w:szCs w:val="12"/>
        </w:rPr>
      </w:pPr>
    </w:p>
    <w:p w14:paraId="5BD64A47" w14:textId="77777777" w:rsidR="008E3AA6" w:rsidRDefault="008E3AA6" w:rsidP="008E3AA6">
      <w:pPr>
        <w:tabs>
          <w:tab w:val="left" w:pos="284"/>
        </w:tabs>
        <w:jc w:val="both"/>
        <w:rPr>
          <w:rFonts w:ascii="Calibri" w:hAnsi="Calibri"/>
          <w:color w:val="7F7F7F"/>
        </w:rPr>
      </w:pPr>
      <w:r w:rsidRPr="00BD7212">
        <w:rPr>
          <w:rFonts w:ascii="Calibri" w:hAnsi="Calibri"/>
          <w:color w:val="7F7F7F"/>
        </w:rPr>
        <w:t>Employment Rates by Educational Attainment:</w:t>
      </w:r>
      <w:r>
        <w:rPr>
          <w:rFonts w:ascii="Calibri" w:hAnsi="Calibri"/>
          <w:color w:val="7F7F7F"/>
        </w:rPr>
        <w:t xml:space="preserve"> </w:t>
      </w:r>
      <w:r w:rsidRPr="00BD7212">
        <w:rPr>
          <w:rFonts w:ascii="Calibri" w:hAnsi="Calibri"/>
          <w:color w:val="7F7F7F"/>
        </w:rPr>
        <w:t>Persons 30-39 years of age, Greater Dandenong, 201</w:t>
      </w:r>
      <w:r>
        <w:rPr>
          <w:rFonts w:ascii="Calibri" w:hAnsi="Calibri"/>
          <w:color w:val="7F7F7F"/>
        </w:rPr>
        <w:t>6</w:t>
      </w:r>
    </w:p>
    <w:p w14:paraId="46EC6FAB" w14:textId="77777777" w:rsidR="008E3AA6" w:rsidRDefault="008E3AA6" w:rsidP="008E3AA6">
      <w:pPr>
        <w:tabs>
          <w:tab w:val="left" w:pos="284"/>
        </w:tabs>
        <w:jc w:val="both"/>
        <w:rPr>
          <w:rFonts w:ascii="Calibri" w:hAnsi="Calibri"/>
          <w:color w:val="7F7F7F"/>
        </w:rPr>
      </w:pPr>
    </w:p>
    <w:p w14:paraId="7784BFD8" w14:textId="77777777" w:rsidR="008E3AA6" w:rsidRPr="00BE4344" w:rsidRDefault="008E3AA6" w:rsidP="008E3AA6">
      <w:pPr>
        <w:tabs>
          <w:tab w:val="left" w:pos="284"/>
        </w:tabs>
        <w:jc w:val="both"/>
        <w:rPr>
          <w:rFonts w:ascii="Calibri" w:hAnsi="Calibri"/>
          <w:color w:val="7F7F7F"/>
        </w:rPr>
      </w:pPr>
    </w:p>
    <w:p w14:paraId="3AC0C1AC" w14:textId="77777777" w:rsidR="008E3AA6" w:rsidRDefault="008E3AA6" w:rsidP="008E3AA6">
      <w:pPr>
        <w:tabs>
          <w:tab w:val="left" w:pos="426"/>
          <w:tab w:val="left" w:pos="3261"/>
        </w:tabs>
        <w:spacing w:before="60" w:after="120" w:line="360" w:lineRule="auto"/>
        <w:jc w:val="both"/>
        <w:rPr>
          <w:rFonts w:ascii="Calibri" w:hAnsi="Calibri"/>
          <w:color w:val="000000"/>
          <w:sz w:val="22"/>
          <w:szCs w:val="22"/>
        </w:rPr>
      </w:pPr>
      <w:r w:rsidRPr="00E2314F">
        <w:rPr>
          <w:rFonts w:ascii="Calibri" w:hAnsi="Calibri"/>
          <w:color w:val="000000"/>
          <w:sz w:val="22"/>
          <w:szCs w:val="22"/>
        </w:rPr>
        <w:t xml:space="preserve">Among women the same age, this contrast </w:t>
      </w:r>
      <w:r>
        <w:rPr>
          <w:rFonts w:ascii="Calibri" w:hAnsi="Calibri"/>
          <w:color w:val="000000"/>
          <w:sz w:val="22"/>
          <w:szCs w:val="22"/>
        </w:rPr>
        <w:t>is</w:t>
      </w:r>
      <w:r w:rsidRPr="00E2314F">
        <w:rPr>
          <w:rFonts w:ascii="Calibri" w:hAnsi="Calibri"/>
          <w:color w:val="000000"/>
          <w:sz w:val="22"/>
          <w:szCs w:val="22"/>
        </w:rPr>
        <w:t xml:space="preserve"> more striking, with </w:t>
      </w:r>
      <w:r>
        <w:rPr>
          <w:rFonts w:ascii="Calibri" w:hAnsi="Calibri"/>
          <w:color w:val="000000"/>
          <w:sz w:val="22"/>
          <w:szCs w:val="22"/>
        </w:rPr>
        <w:t>73</w:t>
      </w:r>
      <w:r w:rsidRPr="00E2314F">
        <w:rPr>
          <w:rFonts w:ascii="Calibri" w:hAnsi="Calibri"/>
          <w:color w:val="000000"/>
          <w:sz w:val="22"/>
          <w:szCs w:val="22"/>
        </w:rPr>
        <w:t xml:space="preserve">% of females with a degree </w:t>
      </w:r>
      <w:r w:rsidRPr="00E2314F">
        <w:rPr>
          <w:rFonts w:ascii="Calibri" w:hAnsi="Calibri"/>
          <w:i/>
          <w:color w:val="000000"/>
          <w:sz w:val="22"/>
          <w:szCs w:val="22"/>
        </w:rPr>
        <w:t>employed</w:t>
      </w:r>
      <w:r w:rsidRPr="00E2314F">
        <w:rPr>
          <w:rFonts w:ascii="Calibri" w:hAnsi="Calibri"/>
          <w:color w:val="000000"/>
          <w:sz w:val="22"/>
          <w:szCs w:val="22"/>
        </w:rPr>
        <w:t>, compared with</w:t>
      </w:r>
      <w:r>
        <w:rPr>
          <w:rFonts w:ascii="Calibri" w:hAnsi="Calibri"/>
          <w:color w:val="000000"/>
          <w:sz w:val="22"/>
          <w:szCs w:val="22"/>
        </w:rPr>
        <w:t xml:space="preserve"> just</w:t>
      </w:r>
      <w:r w:rsidRPr="00E2314F">
        <w:rPr>
          <w:rFonts w:ascii="Calibri" w:hAnsi="Calibri"/>
          <w:color w:val="000000"/>
          <w:sz w:val="22"/>
          <w:szCs w:val="22"/>
        </w:rPr>
        <w:t xml:space="preserve"> </w:t>
      </w:r>
      <w:r>
        <w:rPr>
          <w:rFonts w:ascii="Calibri" w:hAnsi="Calibri"/>
          <w:color w:val="000000"/>
          <w:sz w:val="22"/>
          <w:szCs w:val="22"/>
        </w:rPr>
        <w:t>34</w:t>
      </w:r>
      <w:r w:rsidRPr="00E2314F">
        <w:rPr>
          <w:rFonts w:ascii="Calibri" w:hAnsi="Calibri"/>
          <w:color w:val="000000"/>
          <w:sz w:val="22"/>
          <w:szCs w:val="22"/>
        </w:rPr>
        <w:t>% of early school leavers.</w:t>
      </w:r>
    </w:p>
    <w:p w14:paraId="2F29CC9B" w14:textId="5E5EBF05" w:rsidR="00ED7B6C" w:rsidRPr="008E3AA6" w:rsidRDefault="00ED7B6C" w:rsidP="008E3AA6">
      <w:bookmarkStart w:id="0" w:name="_GoBack"/>
      <w:bookmarkEnd w:id="0"/>
    </w:p>
    <w:sectPr w:rsidR="00ED7B6C" w:rsidRPr="008E3AA6" w:rsidSect="00AC2382">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4147"/>
    <w:multiLevelType w:val="hybridMultilevel"/>
    <w:tmpl w:val="F6C81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4857621"/>
    <w:multiLevelType w:val="hybridMultilevel"/>
    <w:tmpl w:val="4A540F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F1"/>
    <w:rsid w:val="00016D39"/>
    <w:rsid w:val="00020024"/>
    <w:rsid w:val="00056FC3"/>
    <w:rsid w:val="00057AC7"/>
    <w:rsid w:val="000638A1"/>
    <w:rsid w:val="00082DE6"/>
    <w:rsid w:val="000A3D7C"/>
    <w:rsid w:val="000B482A"/>
    <w:rsid w:val="000E45BF"/>
    <w:rsid w:val="00114C49"/>
    <w:rsid w:val="00121BF1"/>
    <w:rsid w:val="00126DC1"/>
    <w:rsid w:val="00153F22"/>
    <w:rsid w:val="00175B0C"/>
    <w:rsid w:val="00190563"/>
    <w:rsid w:val="0019238D"/>
    <w:rsid w:val="001A11F7"/>
    <w:rsid w:val="001E0895"/>
    <w:rsid w:val="001F6E06"/>
    <w:rsid w:val="002227A1"/>
    <w:rsid w:val="00250BAF"/>
    <w:rsid w:val="002619BB"/>
    <w:rsid w:val="002963AF"/>
    <w:rsid w:val="002C7E5D"/>
    <w:rsid w:val="002E6202"/>
    <w:rsid w:val="00344036"/>
    <w:rsid w:val="00354C3E"/>
    <w:rsid w:val="003740B8"/>
    <w:rsid w:val="00383B06"/>
    <w:rsid w:val="00394267"/>
    <w:rsid w:val="003A1C6D"/>
    <w:rsid w:val="003B7353"/>
    <w:rsid w:val="003C5DEF"/>
    <w:rsid w:val="00413396"/>
    <w:rsid w:val="00414FE9"/>
    <w:rsid w:val="00417AA0"/>
    <w:rsid w:val="0042221C"/>
    <w:rsid w:val="004739BD"/>
    <w:rsid w:val="00491BB1"/>
    <w:rsid w:val="004A0926"/>
    <w:rsid w:val="00514243"/>
    <w:rsid w:val="005245B3"/>
    <w:rsid w:val="00543432"/>
    <w:rsid w:val="00555796"/>
    <w:rsid w:val="005A7900"/>
    <w:rsid w:val="005B4B05"/>
    <w:rsid w:val="005C69E2"/>
    <w:rsid w:val="005D6F3D"/>
    <w:rsid w:val="00613253"/>
    <w:rsid w:val="00614205"/>
    <w:rsid w:val="0061615D"/>
    <w:rsid w:val="00646AA2"/>
    <w:rsid w:val="006B5E0B"/>
    <w:rsid w:val="006E59A5"/>
    <w:rsid w:val="00703B93"/>
    <w:rsid w:val="00722DEC"/>
    <w:rsid w:val="007654B3"/>
    <w:rsid w:val="00783798"/>
    <w:rsid w:val="00792723"/>
    <w:rsid w:val="00792C14"/>
    <w:rsid w:val="00796455"/>
    <w:rsid w:val="007A6E5C"/>
    <w:rsid w:val="007D4F59"/>
    <w:rsid w:val="00813D5B"/>
    <w:rsid w:val="008155D8"/>
    <w:rsid w:val="008208F2"/>
    <w:rsid w:val="0082148E"/>
    <w:rsid w:val="008403BC"/>
    <w:rsid w:val="008423A6"/>
    <w:rsid w:val="008602B1"/>
    <w:rsid w:val="00864365"/>
    <w:rsid w:val="00877ED1"/>
    <w:rsid w:val="00890647"/>
    <w:rsid w:val="0089333B"/>
    <w:rsid w:val="008C4945"/>
    <w:rsid w:val="008E3AA6"/>
    <w:rsid w:val="008E585B"/>
    <w:rsid w:val="00901EF4"/>
    <w:rsid w:val="009335C5"/>
    <w:rsid w:val="0094688F"/>
    <w:rsid w:val="00955E73"/>
    <w:rsid w:val="00961F4C"/>
    <w:rsid w:val="00990A3D"/>
    <w:rsid w:val="009921EE"/>
    <w:rsid w:val="009A30E0"/>
    <w:rsid w:val="009B7108"/>
    <w:rsid w:val="009F1E19"/>
    <w:rsid w:val="00A62BFF"/>
    <w:rsid w:val="00A67D3F"/>
    <w:rsid w:val="00A732F1"/>
    <w:rsid w:val="00A937D7"/>
    <w:rsid w:val="00AC2382"/>
    <w:rsid w:val="00B04135"/>
    <w:rsid w:val="00B17A6F"/>
    <w:rsid w:val="00B35485"/>
    <w:rsid w:val="00B73CD5"/>
    <w:rsid w:val="00B94AE1"/>
    <w:rsid w:val="00B97FEC"/>
    <w:rsid w:val="00BA42DF"/>
    <w:rsid w:val="00BD7212"/>
    <w:rsid w:val="00BE4344"/>
    <w:rsid w:val="00BF37E7"/>
    <w:rsid w:val="00C14948"/>
    <w:rsid w:val="00C20CD5"/>
    <w:rsid w:val="00C45C04"/>
    <w:rsid w:val="00C77079"/>
    <w:rsid w:val="00C80294"/>
    <w:rsid w:val="00CD11F8"/>
    <w:rsid w:val="00CF6735"/>
    <w:rsid w:val="00CF7235"/>
    <w:rsid w:val="00D33988"/>
    <w:rsid w:val="00D4255E"/>
    <w:rsid w:val="00D52E62"/>
    <w:rsid w:val="00DA5A17"/>
    <w:rsid w:val="00DD6A0D"/>
    <w:rsid w:val="00E2314F"/>
    <w:rsid w:val="00E83DD1"/>
    <w:rsid w:val="00E84B9A"/>
    <w:rsid w:val="00EA54C4"/>
    <w:rsid w:val="00EB24A9"/>
    <w:rsid w:val="00EB32D7"/>
    <w:rsid w:val="00ED4493"/>
    <w:rsid w:val="00ED7B6C"/>
    <w:rsid w:val="00EE075B"/>
    <w:rsid w:val="00F02FBC"/>
    <w:rsid w:val="00F03014"/>
    <w:rsid w:val="00F14C43"/>
    <w:rsid w:val="00F415B0"/>
    <w:rsid w:val="00F460F3"/>
    <w:rsid w:val="00F5619C"/>
    <w:rsid w:val="00FA3A8B"/>
    <w:rsid w:val="00FA3C4F"/>
    <w:rsid w:val="00FB2A7D"/>
    <w:rsid w:val="00FB5600"/>
    <w:rsid w:val="00FB59FB"/>
    <w:rsid w:val="00FF05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21FC9"/>
  <w15:docId w15:val="{D7E87FC7-4146-44B3-AE3A-BDE84786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21BF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5619C"/>
    <w:rPr>
      <w:rFonts w:ascii="Tahoma" w:hAnsi="Tahoma" w:cs="Tahoma"/>
      <w:sz w:val="16"/>
      <w:szCs w:val="16"/>
    </w:rPr>
  </w:style>
  <w:style w:type="character" w:customStyle="1" w:styleId="BalloonTextChar">
    <w:name w:val="Balloon Text Char"/>
    <w:basedOn w:val="DefaultParagraphFont"/>
    <w:link w:val="BalloonText"/>
    <w:rsid w:val="00F5619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086243">
      <w:bodyDiv w:val="1"/>
      <w:marLeft w:val="0"/>
      <w:marRight w:val="0"/>
      <w:marTop w:val="0"/>
      <w:marBottom w:val="0"/>
      <w:divBdr>
        <w:top w:val="none" w:sz="0" w:space="0" w:color="auto"/>
        <w:left w:val="none" w:sz="0" w:space="0" w:color="auto"/>
        <w:bottom w:val="none" w:sz="0" w:space="0" w:color="auto"/>
        <w:right w:val="none" w:sz="0" w:space="0" w:color="auto"/>
      </w:divBdr>
    </w:div>
    <w:div w:id="1453548287">
      <w:bodyDiv w:val="1"/>
      <w:marLeft w:val="0"/>
      <w:marRight w:val="0"/>
      <w:marTop w:val="0"/>
      <w:marBottom w:val="0"/>
      <w:divBdr>
        <w:top w:val="none" w:sz="0" w:space="0" w:color="auto"/>
        <w:left w:val="none" w:sz="0" w:space="0" w:color="auto"/>
        <w:bottom w:val="none" w:sz="0" w:space="0" w:color="auto"/>
        <w:right w:val="none" w:sz="0" w:space="0" w:color="auto"/>
      </w:divBdr>
    </w:div>
    <w:div w:id="1460807005">
      <w:bodyDiv w:val="1"/>
      <w:marLeft w:val="0"/>
      <w:marRight w:val="0"/>
      <w:marTop w:val="0"/>
      <w:marBottom w:val="0"/>
      <w:divBdr>
        <w:top w:val="none" w:sz="0" w:space="0" w:color="auto"/>
        <w:left w:val="none" w:sz="0" w:space="0" w:color="auto"/>
        <w:bottom w:val="none" w:sz="0" w:space="0" w:color="auto"/>
        <w:right w:val="none" w:sz="0" w:space="0" w:color="auto"/>
      </w:divBdr>
    </w:div>
    <w:div w:id="201484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image" Target="media/image8.jpeg" Id="rId13" /><Relationship Type="http://schemas.openxmlformats.org/officeDocument/2006/relationships/image" Target="media/image13.jpeg" Id="rId18" /><Relationship Type="http://schemas.openxmlformats.org/officeDocument/2006/relationships/styles" Target="styles.xml" Id="rId3" /><Relationship Type="http://schemas.openxmlformats.org/officeDocument/2006/relationships/image" Target="media/image16.jpeg" Id="rId21" /><Relationship Type="http://schemas.openxmlformats.org/officeDocument/2006/relationships/image" Target="media/image2.jpeg" Id="rId7" /><Relationship Type="http://schemas.openxmlformats.org/officeDocument/2006/relationships/image" Target="media/image7.jpg" Id="rId12" /><Relationship Type="http://schemas.openxmlformats.org/officeDocument/2006/relationships/image" Target="media/image12.jpeg" Id="rId17" /><Relationship Type="http://schemas.openxmlformats.org/officeDocument/2006/relationships/numbering" Target="numbering.xml" Id="rId2" /><Relationship Type="http://schemas.openxmlformats.org/officeDocument/2006/relationships/image" Target="media/image11.jpeg" Id="rId16" /><Relationship Type="http://schemas.openxmlformats.org/officeDocument/2006/relationships/image" Target="media/image15.jpeg" Id="rId20" /><Relationship Type="http://schemas.openxmlformats.org/officeDocument/2006/relationships/image" Target="media/image1.jpeg" Id="rId6" /><Relationship Type="http://schemas.openxmlformats.org/officeDocument/2006/relationships/image" Target="media/image6.jpeg" Id="rId11" /><Relationship Type="http://schemas.openxmlformats.org/officeDocument/2006/relationships/webSettings" Target="webSettings.xml" Id="rId5" /><Relationship Type="http://schemas.openxmlformats.org/officeDocument/2006/relationships/image" Target="media/image10.jpeg" Id="rId15" /><Relationship Type="http://schemas.openxmlformats.org/officeDocument/2006/relationships/theme" Target="theme/theme1.xml" Id="rId23" /><Relationship Type="http://schemas.openxmlformats.org/officeDocument/2006/relationships/image" Target="media/image5.jpeg" Id="rId10" /><Relationship Type="http://schemas.openxmlformats.org/officeDocument/2006/relationships/image" Target="media/image14.jpeg" Id="rId19" /><Relationship Type="http://schemas.openxmlformats.org/officeDocument/2006/relationships/settings" Target="settings.xml" Id="rId4" /><Relationship Type="http://schemas.openxmlformats.org/officeDocument/2006/relationships/image" Target="media/image4.jpeg" Id="rId9" /><Relationship Type="http://schemas.openxmlformats.org/officeDocument/2006/relationships/image" Target="media/image9.jpg" Id="rId14" /><Relationship Type="http://schemas.openxmlformats.org/officeDocument/2006/relationships/fontTable" Target="fontTable.xml" Id="rId22" /><Relationship Type="http://schemas.openxmlformats.org/officeDocument/2006/relationships/customXml" Target="/customXml/item2.xml" Id="R2af325562156489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A6819534</value>
    </field>
    <field name="Objective-Title">
      <value order="0">G Educational Outcomes</value>
    </field>
    <field name="Objective-Description">
      <value order="0"/>
    </field>
    <field name="Objective-CreationStamp">
      <value order="0">2020-08-30T21:37:59Z</value>
    </field>
    <field name="Objective-IsApproved">
      <value order="0">false</value>
    </field>
    <field name="Objective-IsPublished">
      <value order="0">true</value>
    </field>
    <field name="Objective-DatePublished">
      <value order="0">2021-04-23T02:38:14Z</value>
    </field>
    <field name="Objective-ModificationStamp">
      <value order="0">2021-04-23T02:38:14Z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vA9844393</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Educational Outcomes among Local Residents</vt:lpstr>
    </vt:vector>
  </TitlesOfParts>
  <Company>City of Greater Dandenong</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Outcomes among Local Residents</dc:title>
  <dc:creator>hbrown</dc:creator>
  <cp:lastModifiedBy>Hayden Brown</cp:lastModifiedBy>
  <cp:revision>3</cp:revision>
  <cp:lastPrinted>2015-09-16T22:46:00Z</cp:lastPrinted>
  <dcterms:created xsi:type="dcterms:W3CDTF">2020-08-23T12:22:00Z</dcterms:created>
  <dcterms:modified xsi:type="dcterms:W3CDTF">2021-04-23T02:38:00Z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A6819534</vt:lpwstr>
  </op:property>
  <op:property fmtid="{D5CDD505-2E9C-101B-9397-08002B2CF9AE}" pid="6" name="Objective-Title">
    <vt:lpwstr>G Educational Outcomes</vt:lpwstr>
  </op:property>
  <op:property fmtid="{D5CDD505-2E9C-101B-9397-08002B2CF9AE}" pid="7" name="Objective-Description">
    <vt:lpwstr/>
  </op:property>
  <op:property fmtid="{D5CDD505-2E9C-101B-9397-08002B2CF9AE}" pid="8" name="Objective-CreationStamp">
    <vt:filetime>2020-08-30T21:37:59Z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2021-04-23T02:38:14Z</vt:filetime>
  </op:property>
  <op:property fmtid="{D5CDD505-2E9C-101B-9397-08002B2CF9AE}" pid="12" name="Objective-ModificationStamp">
    <vt:filetime>2021-04-23T02:38:14Z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vA9844393</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