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717260a408d84648"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AF16B" w14:textId="77777777" w:rsidR="00AF3608" w:rsidRDefault="00AF3608" w:rsidP="00AF3608">
      <w:pPr>
        <w:spacing w:after="0" w:line="288" w:lineRule="auto"/>
        <w:jc w:val="center"/>
        <w:rPr>
          <w:rFonts w:ascii="Garamond" w:hAnsi="Garamond"/>
          <w:sz w:val="36"/>
          <w:szCs w:val="36"/>
          <w:lang w:val="en-US"/>
        </w:rPr>
      </w:pPr>
    </w:p>
    <w:p w14:paraId="6C1C5675" w14:textId="77777777" w:rsidR="00AF3608" w:rsidRDefault="00AF3608" w:rsidP="00AF3608">
      <w:pPr>
        <w:spacing w:after="0" w:line="288" w:lineRule="auto"/>
        <w:jc w:val="center"/>
        <w:rPr>
          <w:rFonts w:ascii="Garamond" w:hAnsi="Garamond"/>
          <w:sz w:val="36"/>
          <w:szCs w:val="36"/>
          <w:lang w:val="en-US"/>
        </w:rPr>
      </w:pPr>
    </w:p>
    <w:p w14:paraId="162DB660" w14:textId="77777777" w:rsidR="00AF3608" w:rsidRDefault="00AF3608" w:rsidP="00AF3608">
      <w:pPr>
        <w:spacing w:after="0" w:line="288" w:lineRule="auto"/>
        <w:jc w:val="center"/>
        <w:rPr>
          <w:rFonts w:ascii="Garamond" w:hAnsi="Garamond"/>
          <w:sz w:val="36"/>
          <w:szCs w:val="36"/>
          <w:lang w:val="en-US"/>
        </w:rPr>
      </w:pPr>
    </w:p>
    <w:p w14:paraId="72BA3BB1" w14:textId="77777777" w:rsidR="00AF3608" w:rsidRDefault="00AF3608" w:rsidP="00AF3608">
      <w:pPr>
        <w:spacing w:after="0" w:line="288" w:lineRule="auto"/>
        <w:jc w:val="center"/>
        <w:rPr>
          <w:rFonts w:ascii="Garamond" w:hAnsi="Garamond"/>
          <w:sz w:val="36"/>
          <w:szCs w:val="36"/>
          <w:lang w:val="en-US"/>
        </w:rPr>
      </w:pPr>
    </w:p>
    <w:p w14:paraId="6D90E5B1" w14:textId="77777777" w:rsidR="00AF3608" w:rsidRDefault="00AF3608" w:rsidP="00AF3608">
      <w:pPr>
        <w:spacing w:after="0" w:line="288" w:lineRule="auto"/>
        <w:jc w:val="center"/>
        <w:rPr>
          <w:rFonts w:ascii="Garamond" w:hAnsi="Garamond"/>
          <w:sz w:val="36"/>
          <w:szCs w:val="36"/>
          <w:lang w:val="en-US"/>
        </w:rPr>
      </w:pPr>
    </w:p>
    <w:p w14:paraId="6AC8A2D2" w14:textId="77777777" w:rsidR="00AF3608" w:rsidRDefault="00AF3608" w:rsidP="00AF3608">
      <w:pPr>
        <w:spacing w:after="0" w:line="288" w:lineRule="auto"/>
        <w:jc w:val="center"/>
        <w:rPr>
          <w:rFonts w:ascii="Garamond" w:hAnsi="Garamond"/>
          <w:sz w:val="36"/>
          <w:szCs w:val="36"/>
          <w:lang w:val="en-US"/>
        </w:rPr>
      </w:pPr>
    </w:p>
    <w:p w14:paraId="2E1B454E" w14:textId="77777777" w:rsidR="00AF3608" w:rsidRDefault="00AF3608" w:rsidP="00AF3608">
      <w:pPr>
        <w:spacing w:after="0" w:line="288" w:lineRule="auto"/>
        <w:jc w:val="center"/>
        <w:rPr>
          <w:rFonts w:ascii="Garamond" w:hAnsi="Garamond"/>
          <w:sz w:val="36"/>
          <w:szCs w:val="36"/>
          <w:lang w:val="en-US"/>
        </w:rPr>
      </w:pPr>
    </w:p>
    <w:p w14:paraId="673E9448" w14:textId="77777777" w:rsidR="00AF3608" w:rsidRDefault="00AF3608" w:rsidP="00AF3608">
      <w:pPr>
        <w:spacing w:after="0" w:line="288" w:lineRule="auto"/>
        <w:jc w:val="center"/>
        <w:rPr>
          <w:rFonts w:ascii="Garamond" w:hAnsi="Garamond"/>
          <w:sz w:val="36"/>
          <w:szCs w:val="36"/>
          <w:lang w:val="en-US"/>
        </w:rPr>
      </w:pPr>
    </w:p>
    <w:p w14:paraId="66CB6AEA" w14:textId="77777777" w:rsidR="00AF3608" w:rsidRDefault="00AF3608" w:rsidP="00AF3608">
      <w:pPr>
        <w:spacing w:after="0" w:line="288" w:lineRule="auto"/>
        <w:jc w:val="center"/>
        <w:rPr>
          <w:rFonts w:ascii="Garamond" w:hAnsi="Garamond"/>
          <w:sz w:val="36"/>
          <w:szCs w:val="36"/>
          <w:lang w:val="en-US"/>
        </w:rPr>
      </w:pPr>
    </w:p>
    <w:p w14:paraId="24D18E44" w14:textId="77777777" w:rsidR="00AF3608" w:rsidRDefault="00AF3608" w:rsidP="00AF3608">
      <w:pPr>
        <w:spacing w:after="0" w:line="288" w:lineRule="auto"/>
        <w:jc w:val="center"/>
        <w:rPr>
          <w:rFonts w:ascii="Garamond" w:hAnsi="Garamond"/>
          <w:sz w:val="36"/>
          <w:szCs w:val="36"/>
          <w:lang w:val="en-US"/>
        </w:rPr>
      </w:pPr>
    </w:p>
    <w:p w14:paraId="164B98D4" w14:textId="77777777" w:rsidR="00AF3608" w:rsidRPr="00162898" w:rsidRDefault="00AF3608" w:rsidP="00AF3608">
      <w:pPr>
        <w:spacing w:after="0" w:line="288" w:lineRule="auto"/>
        <w:jc w:val="center"/>
        <w:rPr>
          <w:rFonts w:ascii="Garamond" w:hAnsi="Garamond"/>
          <w:color w:val="153D63" w:themeColor="text2" w:themeTint="E6"/>
          <w:sz w:val="36"/>
          <w:szCs w:val="36"/>
          <w:lang w:val="en-US"/>
        </w:rPr>
      </w:pPr>
      <w:r w:rsidRPr="00162898">
        <w:rPr>
          <w:rFonts w:ascii="Garamond" w:hAnsi="Garamond"/>
          <w:color w:val="153D63" w:themeColor="text2" w:themeTint="E6"/>
          <w:sz w:val="36"/>
          <w:szCs w:val="36"/>
          <w:lang w:val="en-US"/>
        </w:rPr>
        <w:t xml:space="preserve">Considerations </w:t>
      </w:r>
      <w:proofErr w:type="gramStart"/>
      <w:r w:rsidRPr="00162898">
        <w:rPr>
          <w:rFonts w:ascii="Garamond" w:hAnsi="Garamond"/>
          <w:color w:val="153D63" w:themeColor="text2" w:themeTint="E6"/>
          <w:sz w:val="36"/>
          <w:szCs w:val="36"/>
          <w:lang w:val="en-US"/>
        </w:rPr>
        <w:t>taken into Account</w:t>
      </w:r>
      <w:proofErr w:type="gramEnd"/>
      <w:r w:rsidRPr="00162898">
        <w:rPr>
          <w:rFonts w:ascii="Garamond" w:hAnsi="Garamond"/>
          <w:color w:val="153D63" w:themeColor="text2" w:themeTint="E6"/>
          <w:sz w:val="36"/>
          <w:szCs w:val="36"/>
          <w:lang w:val="en-US"/>
        </w:rPr>
        <w:t xml:space="preserve"> </w:t>
      </w:r>
    </w:p>
    <w:p w14:paraId="6D32B37C" w14:textId="77777777" w:rsidR="00AF3608" w:rsidRPr="00162898" w:rsidRDefault="00AF3608" w:rsidP="00AF3608">
      <w:pPr>
        <w:spacing w:after="0" w:line="288" w:lineRule="auto"/>
        <w:jc w:val="center"/>
        <w:rPr>
          <w:rFonts w:ascii="Garamond" w:hAnsi="Garamond"/>
          <w:color w:val="153D63" w:themeColor="text2" w:themeTint="E6"/>
          <w:sz w:val="36"/>
          <w:szCs w:val="36"/>
          <w:lang w:val="en-US"/>
        </w:rPr>
      </w:pPr>
      <w:r w:rsidRPr="00162898">
        <w:rPr>
          <w:rFonts w:ascii="Garamond" w:hAnsi="Garamond"/>
          <w:color w:val="153D63" w:themeColor="text2" w:themeTint="E6"/>
          <w:sz w:val="36"/>
          <w:szCs w:val="36"/>
          <w:lang w:val="en-US"/>
        </w:rPr>
        <w:t xml:space="preserve">by the Victorian Gambling and Casino Control Commission </w:t>
      </w:r>
    </w:p>
    <w:p w14:paraId="4D1C9E46" w14:textId="50373C02" w:rsidR="00AF3608" w:rsidRPr="00162898" w:rsidRDefault="00AF3608" w:rsidP="00AF3608">
      <w:pPr>
        <w:spacing w:after="0" w:line="288" w:lineRule="auto"/>
        <w:jc w:val="center"/>
        <w:rPr>
          <w:rFonts w:ascii="Garamond" w:hAnsi="Garamond"/>
          <w:color w:val="153D63" w:themeColor="text2" w:themeTint="E6"/>
          <w:sz w:val="36"/>
          <w:szCs w:val="36"/>
          <w:lang w:val="en-US"/>
        </w:rPr>
      </w:pPr>
      <w:r w:rsidRPr="00162898">
        <w:rPr>
          <w:rFonts w:ascii="Garamond" w:hAnsi="Garamond"/>
          <w:color w:val="153D63" w:themeColor="text2" w:themeTint="E6"/>
          <w:sz w:val="36"/>
          <w:szCs w:val="36"/>
          <w:lang w:val="en-US"/>
        </w:rPr>
        <w:t xml:space="preserve">in Recent Decisions on </w:t>
      </w:r>
      <w:r w:rsidR="00DB6807">
        <w:rPr>
          <w:rFonts w:ascii="Garamond" w:hAnsi="Garamond"/>
          <w:color w:val="153D63" w:themeColor="text2" w:themeTint="E6"/>
          <w:sz w:val="36"/>
          <w:szCs w:val="36"/>
          <w:lang w:val="en-US"/>
        </w:rPr>
        <w:t xml:space="preserve">EGM </w:t>
      </w:r>
      <w:r w:rsidRPr="00162898">
        <w:rPr>
          <w:rFonts w:ascii="Garamond" w:hAnsi="Garamond"/>
          <w:color w:val="153D63" w:themeColor="text2" w:themeTint="E6"/>
          <w:sz w:val="36"/>
          <w:szCs w:val="36"/>
          <w:lang w:val="en-US"/>
        </w:rPr>
        <w:t>Gam</w:t>
      </w:r>
      <w:r w:rsidR="00DB6807">
        <w:rPr>
          <w:rFonts w:ascii="Garamond" w:hAnsi="Garamond"/>
          <w:color w:val="153D63" w:themeColor="text2" w:themeTint="E6"/>
          <w:sz w:val="36"/>
          <w:szCs w:val="36"/>
          <w:lang w:val="en-US"/>
        </w:rPr>
        <w:t>bl</w:t>
      </w:r>
      <w:r w:rsidRPr="00162898">
        <w:rPr>
          <w:rFonts w:ascii="Garamond" w:hAnsi="Garamond"/>
          <w:color w:val="153D63" w:themeColor="text2" w:themeTint="E6"/>
          <w:sz w:val="36"/>
          <w:szCs w:val="36"/>
          <w:lang w:val="en-US"/>
        </w:rPr>
        <w:t>ing Applications</w:t>
      </w:r>
    </w:p>
    <w:p w14:paraId="5DF0B194" w14:textId="77777777" w:rsidR="00AF3608" w:rsidRDefault="00AF3608" w:rsidP="00AF3608">
      <w:pPr>
        <w:spacing w:after="0" w:line="288" w:lineRule="auto"/>
        <w:jc w:val="both"/>
        <w:rPr>
          <w:lang w:val="en-US"/>
        </w:rPr>
      </w:pPr>
    </w:p>
    <w:p w14:paraId="75D965E9" w14:textId="77777777" w:rsidR="00AF3608" w:rsidRDefault="00AF3608" w:rsidP="00AF3608">
      <w:pPr>
        <w:spacing w:after="0" w:line="288" w:lineRule="auto"/>
        <w:jc w:val="both"/>
        <w:rPr>
          <w:lang w:val="en-US"/>
        </w:rPr>
      </w:pPr>
    </w:p>
    <w:p w14:paraId="72741506" w14:textId="77777777" w:rsidR="00AD4B6D" w:rsidRPr="00AD4B6D" w:rsidRDefault="00AF3608" w:rsidP="00AD4B6D">
      <w:pPr>
        <w:spacing w:after="0" w:line="288" w:lineRule="auto"/>
        <w:jc w:val="center"/>
        <w:rPr>
          <w:rFonts w:ascii="Garamond" w:hAnsi="Garamond"/>
          <w:sz w:val="28"/>
          <w:szCs w:val="28"/>
          <w:lang w:val="en-US"/>
        </w:rPr>
      </w:pPr>
      <w:r w:rsidRPr="00AD4B6D">
        <w:rPr>
          <w:rFonts w:ascii="Garamond" w:hAnsi="Garamond"/>
          <w:sz w:val="28"/>
          <w:szCs w:val="28"/>
          <w:lang w:val="en-US"/>
        </w:rPr>
        <w:t xml:space="preserve">Based on a review of </w:t>
      </w:r>
      <w:r w:rsidR="00AD4B6D" w:rsidRPr="00AD4B6D">
        <w:rPr>
          <w:rFonts w:ascii="Garamond" w:hAnsi="Garamond"/>
          <w:sz w:val="28"/>
          <w:szCs w:val="28"/>
          <w:lang w:val="en-US"/>
        </w:rPr>
        <w:t xml:space="preserve">decisions </w:t>
      </w:r>
      <w:r w:rsidRPr="00AD4B6D">
        <w:rPr>
          <w:rFonts w:ascii="Garamond" w:hAnsi="Garamond"/>
          <w:sz w:val="28"/>
          <w:szCs w:val="28"/>
          <w:lang w:val="en-US"/>
        </w:rPr>
        <w:t xml:space="preserve">published </w:t>
      </w:r>
    </w:p>
    <w:p w14:paraId="375CA111" w14:textId="77777777" w:rsidR="00AD4B6D" w:rsidRPr="00AD4B6D" w:rsidRDefault="00AF3608" w:rsidP="00AD4B6D">
      <w:pPr>
        <w:spacing w:after="0" w:line="288" w:lineRule="auto"/>
        <w:jc w:val="center"/>
        <w:rPr>
          <w:rFonts w:ascii="Garamond" w:hAnsi="Garamond"/>
          <w:sz w:val="28"/>
          <w:szCs w:val="28"/>
          <w:lang w:val="en-US"/>
        </w:rPr>
      </w:pPr>
      <w:r w:rsidRPr="00AD4B6D">
        <w:rPr>
          <w:rFonts w:ascii="Garamond" w:hAnsi="Garamond"/>
          <w:sz w:val="28"/>
          <w:szCs w:val="28"/>
          <w:lang w:val="en-US"/>
        </w:rPr>
        <w:t xml:space="preserve">by the Victorian Gambling and Casino Control Commission </w:t>
      </w:r>
    </w:p>
    <w:p w14:paraId="791CF663" w14:textId="2C048AFE" w:rsidR="00AF3608" w:rsidRPr="00AD4B6D" w:rsidRDefault="00AD4B6D" w:rsidP="00AD4B6D">
      <w:pPr>
        <w:spacing w:after="0" w:line="288" w:lineRule="auto"/>
        <w:jc w:val="center"/>
        <w:rPr>
          <w:rFonts w:ascii="Garamond" w:hAnsi="Garamond"/>
          <w:sz w:val="28"/>
          <w:szCs w:val="28"/>
          <w:lang w:val="en-US"/>
        </w:rPr>
      </w:pPr>
      <w:r w:rsidRPr="00AD4B6D">
        <w:rPr>
          <w:rFonts w:ascii="Garamond" w:hAnsi="Garamond"/>
          <w:sz w:val="28"/>
          <w:szCs w:val="28"/>
          <w:lang w:val="en-US"/>
        </w:rPr>
        <w:t xml:space="preserve">in the period </w:t>
      </w:r>
      <w:r w:rsidR="00AF3608" w:rsidRPr="00AD4B6D">
        <w:rPr>
          <w:rFonts w:ascii="Garamond" w:hAnsi="Garamond"/>
          <w:sz w:val="28"/>
          <w:szCs w:val="28"/>
          <w:lang w:val="en-US"/>
        </w:rPr>
        <w:t>2021</w:t>
      </w:r>
      <w:r w:rsidRPr="00AD4B6D">
        <w:rPr>
          <w:rFonts w:ascii="Garamond" w:hAnsi="Garamond"/>
          <w:sz w:val="28"/>
          <w:szCs w:val="28"/>
          <w:lang w:val="en-US"/>
        </w:rPr>
        <w:t xml:space="preserve"> to </w:t>
      </w:r>
      <w:r w:rsidR="00AF3608" w:rsidRPr="00AD4B6D">
        <w:rPr>
          <w:rFonts w:ascii="Garamond" w:hAnsi="Garamond"/>
          <w:sz w:val="28"/>
          <w:szCs w:val="28"/>
          <w:lang w:val="en-US"/>
        </w:rPr>
        <w:t>2026</w:t>
      </w:r>
    </w:p>
    <w:p w14:paraId="67253956" w14:textId="77777777" w:rsidR="00AF3608" w:rsidRDefault="00AF3608" w:rsidP="00AF3608">
      <w:pPr>
        <w:spacing w:after="0" w:line="288" w:lineRule="auto"/>
        <w:jc w:val="both"/>
        <w:rPr>
          <w:sz w:val="12"/>
          <w:szCs w:val="12"/>
          <w:lang w:val="en-US"/>
        </w:rPr>
      </w:pPr>
    </w:p>
    <w:p w14:paraId="1A157E5F" w14:textId="77777777" w:rsidR="00AF3608" w:rsidRDefault="00AF3608" w:rsidP="00AF3608">
      <w:pPr>
        <w:spacing w:after="0" w:line="288" w:lineRule="auto"/>
        <w:jc w:val="both"/>
        <w:rPr>
          <w:sz w:val="12"/>
          <w:szCs w:val="12"/>
          <w:lang w:val="en-US"/>
        </w:rPr>
      </w:pPr>
    </w:p>
    <w:p w14:paraId="459DCC17" w14:textId="77777777" w:rsidR="00AF3608" w:rsidRDefault="00AF3608" w:rsidP="00AF3608">
      <w:pPr>
        <w:spacing w:after="0" w:line="288" w:lineRule="auto"/>
        <w:jc w:val="both"/>
        <w:rPr>
          <w:sz w:val="12"/>
          <w:szCs w:val="12"/>
          <w:lang w:val="en-US"/>
        </w:rPr>
      </w:pPr>
    </w:p>
    <w:p w14:paraId="51AB766E" w14:textId="77777777" w:rsidR="00AF3608" w:rsidRDefault="00AF3608" w:rsidP="00AF3608">
      <w:pPr>
        <w:spacing w:after="0" w:line="288" w:lineRule="auto"/>
        <w:jc w:val="both"/>
        <w:rPr>
          <w:sz w:val="12"/>
          <w:szCs w:val="12"/>
          <w:lang w:val="en-US"/>
        </w:rPr>
      </w:pPr>
    </w:p>
    <w:p w14:paraId="39EB3F44" w14:textId="77777777" w:rsidR="00AF3608" w:rsidRDefault="00AF3608" w:rsidP="00AF3608">
      <w:pPr>
        <w:spacing w:after="0" w:line="288" w:lineRule="auto"/>
        <w:jc w:val="both"/>
        <w:rPr>
          <w:sz w:val="12"/>
          <w:szCs w:val="12"/>
          <w:lang w:val="en-US"/>
        </w:rPr>
      </w:pPr>
    </w:p>
    <w:p w14:paraId="10E6DD5C" w14:textId="77777777" w:rsidR="00AF3608" w:rsidRDefault="00AF3608" w:rsidP="00AF3608">
      <w:pPr>
        <w:spacing w:after="0" w:line="288" w:lineRule="auto"/>
        <w:jc w:val="both"/>
        <w:rPr>
          <w:sz w:val="12"/>
          <w:szCs w:val="12"/>
          <w:lang w:val="en-US"/>
        </w:rPr>
      </w:pPr>
    </w:p>
    <w:p w14:paraId="03C6DB1B" w14:textId="77777777" w:rsidR="00AF3608" w:rsidRDefault="00AF3608" w:rsidP="00AF3608">
      <w:pPr>
        <w:spacing w:after="0" w:line="288" w:lineRule="auto"/>
        <w:jc w:val="both"/>
        <w:rPr>
          <w:sz w:val="12"/>
          <w:szCs w:val="12"/>
          <w:lang w:val="en-US"/>
        </w:rPr>
      </w:pPr>
    </w:p>
    <w:p w14:paraId="7ED055A0" w14:textId="77777777" w:rsidR="00AF3608" w:rsidRDefault="00AF3608" w:rsidP="00AF3608">
      <w:pPr>
        <w:spacing w:after="0" w:line="288" w:lineRule="auto"/>
        <w:jc w:val="both"/>
        <w:rPr>
          <w:sz w:val="12"/>
          <w:szCs w:val="12"/>
          <w:lang w:val="en-US"/>
        </w:rPr>
      </w:pPr>
    </w:p>
    <w:p w14:paraId="1971CB85" w14:textId="77777777" w:rsidR="00AF3608" w:rsidRDefault="00AF3608" w:rsidP="00AF3608">
      <w:pPr>
        <w:spacing w:after="0" w:line="288" w:lineRule="auto"/>
        <w:jc w:val="both"/>
        <w:rPr>
          <w:sz w:val="12"/>
          <w:szCs w:val="12"/>
          <w:lang w:val="en-US"/>
        </w:rPr>
      </w:pPr>
    </w:p>
    <w:p w14:paraId="3D99727A" w14:textId="77777777" w:rsidR="00AF3608" w:rsidRDefault="00AF3608" w:rsidP="00AF3608">
      <w:pPr>
        <w:spacing w:after="0" w:line="288" w:lineRule="auto"/>
        <w:jc w:val="both"/>
        <w:rPr>
          <w:sz w:val="12"/>
          <w:szCs w:val="12"/>
          <w:lang w:val="en-US"/>
        </w:rPr>
      </w:pPr>
    </w:p>
    <w:p w14:paraId="42C97EE6" w14:textId="77777777" w:rsidR="00AF3608" w:rsidRDefault="00AF3608" w:rsidP="00AF3608">
      <w:pPr>
        <w:spacing w:after="0" w:line="288" w:lineRule="auto"/>
        <w:jc w:val="both"/>
        <w:rPr>
          <w:sz w:val="12"/>
          <w:szCs w:val="12"/>
          <w:lang w:val="en-US"/>
        </w:rPr>
      </w:pPr>
    </w:p>
    <w:p w14:paraId="47160975" w14:textId="77777777" w:rsidR="00AF3608" w:rsidRDefault="00AF3608" w:rsidP="00AF3608">
      <w:pPr>
        <w:spacing w:after="0" w:line="288" w:lineRule="auto"/>
        <w:jc w:val="both"/>
        <w:rPr>
          <w:sz w:val="12"/>
          <w:szCs w:val="12"/>
          <w:lang w:val="en-US"/>
        </w:rPr>
      </w:pPr>
    </w:p>
    <w:p w14:paraId="3375A76B" w14:textId="77777777" w:rsidR="00AF3608" w:rsidRDefault="00AF3608" w:rsidP="00AF3608">
      <w:pPr>
        <w:spacing w:after="0" w:line="288" w:lineRule="auto"/>
        <w:jc w:val="both"/>
        <w:rPr>
          <w:sz w:val="12"/>
          <w:szCs w:val="12"/>
          <w:lang w:val="en-US"/>
        </w:rPr>
      </w:pPr>
    </w:p>
    <w:p w14:paraId="43A48C83" w14:textId="77777777" w:rsidR="00AF3608" w:rsidRDefault="00AF3608" w:rsidP="00AF3608">
      <w:pPr>
        <w:spacing w:after="0" w:line="288" w:lineRule="auto"/>
        <w:jc w:val="both"/>
        <w:rPr>
          <w:sz w:val="12"/>
          <w:szCs w:val="12"/>
          <w:lang w:val="en-US"/>
        </w:rPr>
      </w:pPr>
    </w:p>
    <w:p w14:paraId="1AAF52DC" w14:textId="77777777" w:rsidR="00AF3608" w:rsidRDefault="00AF3608" w:rsidP="00AF3608">
      <w:pPr>
        <w:spacing w:after="0" w:line="288" w:lineRule="auto"/>
        <w:jc w:val="both"/>
        <w:rPr>
          <w:sz w:val="12"/>
          <w:szCs w:val="12"/>
          <w:lang w:val="en-US"/>
        </w:rPr>
      </w:pPr>
    </w:p>
    <w:p w14:paraId="530A9085" w14:textId="77777777" w:rsidR="00AF3608" w:rsidRDefault="00AF3608" w:rsidP="00AF3608">
      <w:pPr>
        <w:spacing w:after="0" w:line="288" w:lineRule="auto"/>
        <w:jc w:val="both"/>
        <w:rPr>
          <w:sz w:val="12"/>
          <w:szCs w:val="12"/>
          <w:lang w:val="en-US"/>
        </w:rPr>
      </w:pPr>
    </w:p>
    <w:p w14:paraId="57572CE9" w14:textId="77777777" w:rsidR="00AF3608" w:rsidRDefault="00AF3608" w:rsidP="00AF3608">
      <w:pPr>
        <w:spacing w:after="0" w:line="288" w:lineRule="auto"/>
        <w:jc w:val="both"/>
        <w:rPr>
          <w:sz w:val="12"/>
          <w:szCs w:val="12"/>
          <w:lang w:val="en-US"/>
        </w:rPr>
      </w:pPr>
    </w:p>
    <w:p w14:paraId="4662C461" w14:textId="77777777" w:rsidR="00AF3608" w:rsidRDefault="00AF3608" w:rsidP="00AF3608">
      <w:pPr>
        <w:spacing w:after="0" w:line="288" w:lineRule="auto"/>
        <w:jc w:val="both"/>
        <w:rPr>
          <w:sz w:val="12"/>
          <w:szCs w:val="12"/>
          <w:lang w:val="en-US"/>
        </w:rPr>
      </w:pPr>
    </w:p>
    <w:p w14:paraId="56149FFE" w14:textId="77777777" w:rsidR="00AF3608" w:rsidRDefault="00AF3608" w:rsidP="00AF3608">
      <w:pPr>
        <w:spacing w:after="0" w:line="288" w:lineRule="auto"/>
        <w:jc w:val="both"/>
        <w:rPr>
          <w:sz w:val="12"/>
          <w:szCs w:val="12"/>
          <w:lang w:val="en-US"/>
        </w:rPr>
      </w:pPr>
    </w:p>
    <w:p w14:paraId="704ABC8C" w14:textId="77777777" w:rsidR="00AF3608" w:rsidRDefault="00AF3608" w:rsidP="00AF3608">
      <w:pPr>
        <w:spacing w:after="0" w:line="288" w:lineRule="auto"/>
        <w:jc w:val="both"/>
        <w:rPr>
          <w:sz w:val="12"/>
          <w:szCs w:val="12"/>
          <w:lang w:val="en-US"/>
        </w:rPr>
      </w:pPr>
    </w:p>
    <w:p w14:paraId="7E302890" w14:textId="77777777" w:rsidR="00AF3608" w:rsidRDefault="00AF3608" w:rsidP="00AF3608">
      <w:pPr>
        <w:spacing w:after="0" w:line="288" w:lineRule="auto"/>
        <w:jc w:val="both"/>
        <w:rPr>
          <w:sz w:val="12"/>
          <w:szCs w:val="12"/>
          <w:lang w:val="en-US"/>
        </w:rPr>
      </w:pPr>
    </w:p>
    <w:p w14:paraId="1891171F" w14:textId="77777777" w:rsidR="00AF3608" w:rsidRDefault="00AF3608" w:rsidP="00AF3608">
      <w:pPr>
        <w:spacing w:after="0" w:line="288" w:lineRule="auto"/>
        <w:jc w:val="both"/>
        <w:rPr>
          <w:sz w:val="12"/>
          <w:szCs w:val="12"/>
          <w:lang w:val="en-US"/>
        </w:rPr>
      </w:pPr>
    </w:p>
    <w:p w14:paraId="1130CF04" w14:textId="77777777" w:rsidR="00AF3608" w:rsidRDefault="00AF3608" w:rsidP="00AF3608">
      <w:pPr>
        <w:spacing w:after="0" w:line="288" w:lineRule="auto"/>
        <w:jc w:val="both"/>
        <w:rPr>
          <w:sz w:val="12"/>
          <w:szCs w:val="12"/>
          <w:lang w:val="en-US"/>
        </w:rPr>
      </w:pPr>
    </w:p>
    <w:p w14:paraId="18827C43" w14:textId="77777777" w:rsidR="00AF3608" w:rsidRDefault="00AF3608" w:rsidP="00AF3608">
      <w:pPr>
        <w:spacing w:after="0" w:line="288" w:lineRule="auto"/>
        <w:jc w:val="both"/>
        <w:rPr>
          <w:sz w:val="12"/>
          <w:szCs w:val="12"/>
          <w:lang w:val="en-US"/>
        </w:rPr>
      </w:pPr>
    </w:p>
    <w:p w14:paraId="60E5C578" w14:textId="77777777" w:rsidR="00AF3608" w:rsidRPr="00AD4B6D" w:rsidRDefault="00AF3608" w:rsidP="00AF3608">
      <w:pPr>
        <w:spacing w:after="0" w:line="288" w:lineRule="auto"/>
        <w:jc w:val="center"/>
        <w:rPr>
          <w:rFonts w:ascii="Garamond" w:hAnsi="Garamond"/>
          <w:sz w:val="20"/>
          <w:szCs w:val="20"/>
          <w:lang w:val="en-US"/>
        </w:rPr>
      </w:pPr>
      <w:r w:rsidRPr="00AD4B6D">
        <w:rPr>
          <w:rFonts w:ascii="Garamond" w:hAnsi="Garamond"/>
          <w:sz w:val="20"/>
          <w:szCs w:val="20"/>
          <w:lang w:val="en-US"/>
        </w:rPr>
        <w:t>H. Brown 2026</w:t>
      </w:r>
    </w:p>
    <w:p w14:paraId="69D57019" w14:textId="77777777" w:rsidR="00AF3608" w:rsidRDefault="00AF3608" w:rsidP="00AF3608">
      <w:pPr>
        <w:rPr>
          <w:rFonts w:ascii="Garamond" w:hAnsi="Garamond"/>
          <w:color w:val="153D63" w:themeColor="text2" w:themeTint="E6"/>
          <w:sz w:val="28"/>
          <w:szCs w:val="28"/>
          <w:lang w:val="en-US"/>
        </w:rPr>
      </w:pPr>
      <w:r>
        <w:rPr>
          <w:rFonts w:ascii="Garamond" w:hAnsi="Garamond"/>
          <w:color w:val="153D63" w:themeColor="text2" w:themeTint="E6"/>
          <w:sz w:val="28"/>
          <w:szCs w:val="28"/>
          <w:lang w:val="en-US"/>
        </w:rPr>
        <w:br w:type="page"/>
      </w:r>
    </w:p>
    <w:p w14:paraId="3C3A5150" w14:textId="77777777" w:rsidR="00AF3608" w:rsidRDefault="00AF3608" w:rsidP="00AF3608">
      <w:pPr>
        <w:rPr>
          <w:rFonts w:ascii="Garamond" w:hAnsi="Garamond"/>
          <w:color w:val="153D63" w:themeColor="text2" w:themeTint="E6"/>
          <w:sz w:val="28"/>
          <w:szCs w:val="28"/>
          <w:lang w:val="en-US"/>
        </w:rPr>
      </w:pPr>
    </w:p>
    <w:p w14:paraId="244E48EC" w14:textId="77777777" w:rsidR="00AF3608" w:rsidRDefault="00AF3608" w:rsidP="00AF3608">
      <w:pPr>
        <w:rPr>
          <w:rFonts w:ascii="Garamond" w:hAnsi="Garamond"/>
          <w:color w:val="153D63" w:themeColor="text2" w:themeTint="E6"/>
          <w:sz w:val="28"/>
          <w:szCs w:val="28"/>
          <w:lang w:val="en-US"/>
        </w:rPr>
      </w:pPr>
      <w:r>
        <w:rPr>
          <w:rFonts w:ascii="Garamond" w:hAnsi="Garamond"/>
          <w:color w:val="153D63" w:themeColor="text2" w:themeTint="E6"/>
          <w:sz w:val="28"/>
          <w:szCs w:val="28"/>
          <w:lang w:val="en-US"/>
        </w:rPr>
        <w:br w:type="page"/>
      </w:r>
    </w:p>
    <w:p w14:paraId="4D4BB82F" w14:textId="23D27AB7" w:rsidR="0020401B" w:rsidRPr="00AF3608" w:rsidRDefault="0020401B" w:rsidP="00565DE7">
      <w:pPr>
        <w:spacing w:before="240" w:after="80"/>
        <w:jc w:val="both"/>
        <w:rPr>
          <w:rFonts w:ascii="Garamond" w:hAnsi="Garamond"/>
          <w:b/>
          <w:bCs/>
          <w:color w:val="153D63" w:themeColor="text2" w:themeTint="E6"/>
          <w:sz w:val="32"/>
          <w:szCs w:val="32"/>
        </w:rPr>
      </w:pPr>
      <w:r w:rsidRPr="00AF3608">
        <w:rPr>
          <w:rFonts w:ascii="Garamond" w:hAnsi="Garamond"/>
          <w:b/>
          <w:bCs/>
          <w:color w:val="153D63" w:themeColor="text2" w:themeTint="E6"/>
          <w:sz w:val="32"/>
          <w:szCs w:val="32"/>
        </w:rPr>
        <w:lastRenderedPageBreak/>
        <w:t xml:space="preserve">Social </w:t>
      </w:r>
      <w:r w:rsidR="00AF3608">
        <w:rPr>
          <w:rFonts w:ascii="Garamond" w:hAnsi="Garamond"/>
          <w:b/>
          <w:bCs/>
          <w:color w:val="153D63" w:themeColor="text2" w:themeTint="E6"/>
          <w:sz w:val="32"/>
          <w:szCs w:val="32"/>
        </w:rPr>
        <w:t>Consequences</w:t>
      </w:r>
      <w:r w:rsidRPr="00AF3608">
        <w:rPr>
          <w:rFonts w:ascii="Garamond" w:hAnsi="Garamond"/>
          <w:b/>
          <w:bCs/>
          <w:color w:val="153D63" w:themeColor="text2" w:themeTint="E6"/>
          <w:sz w:val="32"/>
          <w:szCs w:val="32"/>
        </w:rPr>
        <w:t xml:space="preserve"> of </w:t>
      </w:r>
      <w:r w:rsidR="00DB6807">
        <w:rPr>
          <w:rFonts w:ascii="Garamond" w:hAnsi="Garamond"/>
          <w:b/>
          <w:bCs/>
          <w:color w:val="153D63" w:themeColor="text2" w:themeTint="E6"/>
          <w:sz w:val="32"/>
          <w:szCs w:val="32"/>
        </w:rPr>
        <w:t>Gambling</w:t>
      </w:r>
      <w:r w:rsidRPr="00AF3608">
        <w:rPr>
          <w:rFonts w:ascii="Garamond" w:hAnsi="Garamond"/>
          <w:b/>
          <w:bCs/>
          <w:color w:val="153D63" w:themeColor="text2" w:themeTint="E6"/>
          <w:sz w:val="32"/>
          <w:szCs w:val="32"/>
        </w:rPr>
        <w:t xml:space="preserve"> Applications</w:t>
      </w:r>
    </w:p>
    <w:p w14:paraId="6CE5C6E0" w14:textId="1EE74BC1" w:rsidR="0020401B" w:rsidRPr="0020401B" w:rsidRDefault="0020401B" w:rsidP="002C1C04">
      <w:pPr>
        <w:spacing w:after="100"/>
        <w:jc w:val="both"/>
      </w:pPr>
      <w:r w:rsidRPr="0020401B">
        <w:t xml:space="preserve">These notes </w:t>
      </w:r>
      <w:r w:rsidR="003F50EA">
        <w:t>recount</w:t>
      </w:r>
      <w:r w:rsidRPr="0020401B">
        <w:t xml:space="preserve"> evidence considered by the Victorian Gambling and Casino Control Commission (VGCCC) in reaching its recent decisions on </w:t>
      </w:r>
      <w:r w:rsidR="00DB6807">
        <w:t>gambling</w:t>
      </w:r>
      <w:r w:rsidRPr="0020401B">
        <w:t xml:space="preserve"> applications. Based on a review of published </w:t>
      </w:r>
      <w:r w:rsidRPr="0020401B">
        <w:rPr>
          <w:i/>
          <w:iCs/>
        </w:rPr>
        <w:t>Reasons for Decision</w:t>
      </w:r>
      <w:r w:rsidRPr="0020401B">
        <w:t xml:space="preserve"> between 2021 and 2026, </w:t>
      </w:r>
      <w:r w:rsidR="009C54FC">
        <w:t>this note</w:t>
      </w:r>
      <w:r w:rsidRPr="0020401B">
        <w:t xml:space="preserve"> examines the relationship between socioeconomic disadvantage and gambling harm, venue characteristics that may moderate such effects, and the economic impacts of </w:t>
      </w:r>
      <w:r w:rsidR="00DB6807">
        <w:t>gambling</w:t>
      </w:r>
      <w:r w:rsidRPr="0020401B">
        <w:t xml:space="preserve"> applications.</w:t>
      </w:r>
    </w:p>
    <w:p w14:paraId="41D9A622"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t>Area of Consideration for Assessing Applications and Local Conditions</w:t>
      </w:r>
    </w:p>
    <w:p w14:paraId="516FE444" w14:textId="77777777" w:rsidR="00D80678" w:rsidRDefault="0020401B" w:rsidP="002C1C04">
      <w:pPr>
        <w:spacing w:after="100"/>
        <w:jc w:val="both"/>
      </w:pPr>
      <w:r w:rsidRPr="0020401B">
        <w:t xml:space="preserve">For venues located in metropolitan Melbourne or large regional municipalities, conditions within a 2.5-kilometre radius of the venue are generally regarded as the most relevant in assessing local socioeconomic disadvantage. In activity centres such as Melbourne CBD, where many patrons travel to the area for work or entertainment, the municipality </w:t>
      </w:r>
      <w:proofErr w:type="gramStart"/>
      <w:r w:rsidRPr="0020401B">
        <w:t>as a whole may</w:t>
      </w:r>
      <w:proofErr w:type="gramEnd"/>
      <w:r w:rsidRPr="0020401B">
        <w:t xml:space="preserve"> be considered more appropriate, </w:t>
      </w:r>
      <w:r w:rsidR="00D80678" w:rsidRPr="002C1C04">
        <w:t xml:space="preserve">or it may be conceded that no </w:t>
      </w:r>
      <w:proofErr w:type="gramStart"/>
      <w:r w:rsidR="00D80678" w:rsidRPr="002C1C04">
        <w:t>particular geographic</w:t>
      </w:r>
      <w:proofErr w:type="gramEnd"/>
      <w:r w:rsidR="00D80678" w:rsidRPr="002C1C04">
        <w:t xml:space="preserve"> area may be properly designated as the venue catchment.</w:t>
      </w:r>
      <w:r w:rsidRPr="0020401B">
        <w:t xml:space="preserve"> </w:t>
      </w:r>
    </w:p>
    <w:p w14:paraId="55C74702" w14:textId="1BB031B6" w:rsidR="0020401B" w:rsidRPr="0020401B" w:rsidRDefault="0020401B" w:rsidP="002C1C04">
      <w:pPr>
        <w:spacing w:after="100"/>
        <w:jc w:val="both"/>
      </w:pPr>
      <w:r w:rsidRPr="0020401B">
        <w:t>In some rural localities, a broader catchment of 5 to 10 kilometres may be used to include residents of surrounding rural areas.</w:t>
      </w:r>
    </w:p>
    <w:p w14:paraId="58FBFDB4"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t>Measures of Gambling Intensity</w:t>
      </w:r>
    </w:p>
    <w:p w14:paraId="5640C465" w14:textId="21CF58CA" w:rsidR="0020401B" w:rsidRPr="0020401B" w:rsidRDefault="0020401B" w:rsidP="00AF3608">
      <w:pPr>
        <w:spacing w:after="100"/>
        <w:jc w:val="both"/>
      </w:pPr>
      <w:r w:rsidRPr="0020401B">
        <w:t xml:space="preserve">Indicators of the extent and intensity of electronic </w:t>
      </w:r>
      <w:r w:rsidR="00DB6807">
        <w:t>gambling</w:t>
      </w:r>
      <w:r w:rsidRPr="0020401B">
        <w:t xml:space="preserve"> machine (EGM) gambling in the vicinity of a venue include:</w:t>
      </w:r>
    </w:p>
    <w:p w14:paraId="0DBB4703" w14:textId="24D9BC2F" w:rsidR="0020401B" w:rsidRPr="0020401B" w:rsidRDefault="00B9491D" w:rsidP="00565DE7">
      <w:pPr>
        <w:numPr>
          <w:ilvl w:val="0"/>
          <w:numId w:val="11"/>
        </w:numPr>
        <w:spacing w:after="60"/>
        <w:ind w:left="714" w:hanging="357"/>
        <w:jc w:val="both"/>
      </w:pPr>
      <w:r>
        <w:t>t</w:t>
      </w:r>
      <w:r w:rsidR="0020401B" w:rsidRPr="0020401B">
        <w:t>he number and density of venues and EGMs</w:t>
      </w:r>
      <w:r>
        <w:t>; and</w:t>
      </w:r>
    </w:p>
    <w:p w14:paraId="649FFC47" w14:textId="2388EC25" w:rsidR="0020401B" w:rsidRPr="0020401B" w:rsidRDefault="00DB6807" w:rsidP="00AD4B6D">
      <w:pPr>
        <w:numPr>
          <w:ilvl w:val="0"/>
          <w:numId w:val="11"/>
        </w:numPr>
        <w:spacing w:after="100"/>
        <w:ind w:left="714" w:hanging="357"/>
        <w:jc w:val="both"/>
      </w:pPr>
      <w:r>
        <w:t>gambling</w:t>
      </w:r>
      <w:r w:rsidR="0020401B" w:rsidRPr="0020401B">
        <w:t xml:space="preserve"> expenditure per adult.</w:t>
      </w:r>
    </w:p>
    <w:p w14:paraId="692DEEAC" w14:textId="77777777" w:rsidR="00D80678" w:rsidRDefault="0020401B" w:rsidP="002C1C04">
      <w:pPr>
        <w:spacing w:after="100"/>
        <w:jc w:val="both"/>
      </w:pPr>
      <w:r w:rsidRPr="0020401B">
        <w:t xml:space="preserve">Localities where these measures exceed state or regional averages may be considered more vulnerable to gambling-related harm. </w:t>
      </w:r>
    </w:p>
    <w:p w14:paraId="7C29CE75" w14:textId="261A0F16" w:rsidR="00D80678" w:rsidRPr="002C1C04" w:rsidRDefault="00D80678" w:rsidP="002C1C04">
      <w:pPr>
        <w:spacing w:after="100"/>
        <w:jc w:val="both"/>
      </w:pPr>
      <w:r w:rsidRPr="002C1C04">
        <w:t>Within a venue, high levels of utilization of EGMs – such as many hours when more than 70% of machines are in use – may be construed as high intensity gambling, implying that additional EGMs would increase patronage and expenditure with potentially beneficial impacts upon local availability of gambling opportunities, and adverse effects upon expenditure.</w:t>
      </w:r>
    </w:p>
    <w:p w14:paraId="16456B17" w14:textId="72B09AA6" w:rsidR="0020401B" w:rsidRPr="002C1C04" w:rsidRDefault="0020401B" w:rsidP="002C1C04">
      <w:pPr>
        <w:spacing w:before="120" w:after="60"/>
        <w:jc w:val="both"/>
        <w:rPr>
          <w:b/>
          <w:bCs/>
          <w:color w:val="153D63" w:themeColor="text2" w:themeTint="E6"/>
        </w:rPr>
      </w:pPr>
      <w:r w:rsidRPr="002C1C04">
        <w:rPr>
          <w:b/>
          <w:bCs/>
          <w:color w:val="153D63" w:themeColor="text2" w:themeTint="E6"/>
        </w:rPr>
        <w:t>Measures of Socioeconomic Disadvantage</w:t>
      </w:r>
    </w:p>
    <w:p w14:paraId="002A086F" w14:textId="77777777" w:rsidR="0020401B" w:rsidRPr="0020401B" w:rsidRDefault="0020401B" w:rsidP="00AF3608">
      <w:pPr>
        <w:spacing w:after="100"/>
        <w:jc w:val="both"/>
      </w:pPr>
      <w:r w:rsidRPr="0020401B">
        <w:t>The Commission commonly considers a range of indicators of socioeconomic disadvantage and vulnerability to gambling harm, including:</w:t>
      </w:r>
    </w:p>
    <w:p w14:paraId="406F5F8D" w14:textId="11366A53" w:rsidR="00B9491D" w:rsidRPr="0020401B" w:rsidRDefault="00B9491D" w:rsidP="00B9491D">
      <w:pPr>
        <w:numPr>
          <w:ilvl w:val="0"/>
          <w:numId w:val="11"/>
        </w:numPr>
        <w:spacing w:after="60"/>
        <w:ind w:left="714" w:hanging="357"/>
        <w:jc w:val="both"/>
      </w:pPr>
      <w:r>
        <w:t>incomes and r</w:t>
      </w:r>
      <w:r w:rsidRPr="0020401B">
        <w:t>eliance on pensions and government benefits</w:t>
      </w:r>
      <w:r>
        <w:t>;</w:t>
      </w:r>
    </w:p>
    <w:p w14:paraId="40A3D3E1" w14:textId="778C6019" w:rsidR="0020401B" w:rsidRPr="0020401B" w:rsidRDefault="00B9491D" w:rsidP="00565DE7">
      <w:pPr>
        <w:numPr>
          <w:ilvl w:val="0"/>
          <w:numId w:val="11"/>
        </w:numPr>
        <w:spacing w:after="60"/>
        <w:ind w:left="714" w:hanging="357"/>
        <w:jc w:val="both"/>
      </w:pPr>
      <w:r>
        <w:t>u</w:t>
      </w:r>
      <w:r w:rsidR="0020401B" w:rsidRPr="0020401B">
        <w:t>nemployment levels</w:t>
      </w:r>
      <w:r>
        <w:t>;</w:t>
      </w:r>
    </w:p>
    <w:p w14:paraId="0590D0B7" w14:textId="0CA44503" w:rsidR="0020401B" w:rsidRPr="0020401B" w:rsidRDefault="00B9491D" w:rsidP="00565DE7">
      <w:pPr>
        <w:numPr>
          <w:ilvl w:val="0"/>
          <w:numId w:val="11"/>
        </w:numPr>
        <w:spacing w:after="60"/>
        <w:ind w:left="714" w:hanging="357"/>
        <w:jc w:val="both"/>
      </w:pPr>
      <w:r>
        <w:t>r</w:t>
      </w:r>
      <w:r w:rsidR="0020401B" w:rsidRPr="0020401B">
        <w:t>ental or mortgage stress</w:t>
      </w:r>
      <w:r>
        <w:t>;</w:t>
      </w:r>
    </w:p>
    <w:p w14:paraId="1FA3BF65" w14:textId="798C46E5" w:rsidR="0020401B" w:rsidRPr="0020401B" w:rsidRDefault="00B9491D" w:rsidP="00B9491D">
      <w:pPr>
        <w:numPr>
          <w:ilvl w:val="0"/>
          <w:numId w:val="11"/>
        </w:numPr>
        <w:spacing w:after="60"/>
        <w:ind w:left="714" w:hanging="357"/>
        <w:jc w:val="both"/>
      </w:pPr>
      <w:r>
        <w:t>h</w:t>
      </w:r>
      <w:r w:rsidR="0020401B" w:rsidRPr="0020401B">
        <w:t>omelessness</w:t>
      </w:r>
      <w:r>
        <w:t>; and</w:t>
      </w:r>
    </w:p>
    <w:p w14:paraId="40AFB119" w14:textId="658E0FEC" w:rsidR="00B9491D" w:rsidRPr="0020401B" w:rsidRDefault="00B9491D" w:rsidP="00B9491D">
      <w:pPr>
        <w:numPr>
          <w:ilvl w:val="0"/>
          <w:numId w:val="11"/>
        </w:numPr>
        <w:spacing w:after="60"/>
        <w:ind w:left="714" w:hanging="357"/>
        <w:jc w:val="both"/>
      </w:pPr>
      <w:r>
        <w:t>c</w:t>
      </w:r>
      <w:r w:rsidRPr="0020401B">
        <w:t>rime rates.</w:t>
      </w:r>
    </w:p>
    <w:p w14:paraId="67F24108" w14:textId="49AA037E" w:rsidR="0020401B" w:rsidRPr="0020401B" w:rsidRDefault="0020401B" w:rsidP="00565DE7">
      <w:pPr>
        <w:spacing w:after="100"/>
        <w:jc w:val="both"/>
      </w:pPr>
      <w:r w:rsidRPr="0020401B">
        <w:t xml:space="preserve">The ABS Index of Relative Socio-economic Disadvantage </w:t>
      </w:r>
      <w:r w:rsidR="000513B7">
        <w:t>is</w:t>
      </w:r>
      <w:r w:rsidRPr="0020401B">
        <w:t xml:space="preserve"> also </w:t>
      </w:r>
      <w:r w:rsidR="00B9491D">
        <w:t xml:space="preserve">referenced, often </w:t>
      </w:r>
      <w:r w:rsidR="003F50EA">
        <w:t xml:space="preserve">as the </w:t>
      </w:r>
      <w:r w:rsidRPr="0020401B">
        <w:t>proportion of nearby SA1 areas that fall within the most disadvantaged 20 per cent of Victorian SA1s.</w:t>
      </w:r>
    </w:p>
    <w:p w14:paraId="53B5CAB6"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t>Vulnerability and Socioeconomic Disadvantage</w:t>
      </w:r>
    </w:p>
    <w:p w14:paraId="002E9D29" w14:textId="4307C222" w:rsidR="0020401B" w:rsidRPr="0020401B" w:rsidRDefault="0020401B" w:rsidP="0020401B">
      <w:pPr>
        <w:jc w:val="both"/>
      </w:pPr>
      <w:r w:rsidRPr="0020401B">
        <w:t xml:space="preserve">The Commission acknowledges that communities experiencing higher levels of socioeconomic disadvantage may be more vulnerable to gambling-related harm, </w:t>
      </w:r>
      <w:r w:rsidR="003F50EA">
        <w:t>and</w:t>
      </w:r>
      <w:r w:rsidRPr="0020401B">
        <w:t xml:space="preserve"> </w:t>
      </w:r>
      <w:r w:rsidR="000513B7">
        <w:t>more affluent localities</w:t>
      </w:r>
      <w:r w:rsidRPr="0020401B">
        <w:t xml:space="preserve"> </w:t>
      </w:r>
      <w:r w:rsidR="003F50EA">
        <w:t>less so</w:t>
      </w:r>
      <w:r w:rsidRPr="0020401B">
        <w:t xml:space="preserve">. However, it also maintains that effective management practices, harm-minimisation measures and other interventions can </w:t>
      </w:r>
      <w:r w:rsidR="009C54FC">
        <w:t>negate</w:t>
      </w:r>
      <w:r w:rsidRPr="0020401B">
        <w:t xml:space="preserve"> such risks. Furthermore, where residents already have access to </w:t>
      </w:r>
      <w:r w:rsidR="00DB6807">
        <w:t>gambling</w:t>
      </w:r>
      <w:r w:rsidRPr="0020401B">
        <w:t xml:space="preserve"> venues, the Commission may conclude that an additional venue or more EGMs will not necessarily worsen gambling problems.</w:t>
      </w:r>
    </w:p>
    <w:p w14:paraId="174FD6BC"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lastRenderedPageBreak/>
        <w:t>Future Changes in Socioeconomic and Demographic Conditions</w:t>
      </w:r>
    </w:p>
    <w:p w14:paraId="6CED9D8C" w14:textId="195744B4" w:rsidR="0020401B" w:rsidRPr="0020401B" w:rsidRDefault="0020401B" w:rsidP="00565DE7">
      <w:pPr>
        <w:spacing w:after="100"/>
        <w:jc w:val="both"/>
      </w:pPr>
      <w:r w:rsidRPr="0020401B">
        <w:t xml:space="preserve">In some decisions, the Commission has declined to speculate about future developments that may affect gambling demand or harm, such as the emergence of alternative entertainment facilities, economic </w:t>
      </w:r>
      <w:r w:rsidR="003F50EA">
        <w:t>trends</w:t>
      </w:r>
      <w:r w:rsidRPr="0020401B">
        <w:t xml:space="preserve">, or the impact of forthcoming gambling reforms. For example, in </w:t>
      </w:r>
      <w:r w:rsidRPr="00565DE7">
        <w:rPr>
          <w:i/>
          <w:iCs/>
        </w:rPr>
        <w:t>Cranbourne Pakenham Racing Club</w:t>
      </w:r>
      <w:r w:rsidRPr="00565DE7">
        <w:t xml:space="preserve"> (2026)</w:t>
      </w:r>
      <w:r w:rsidRPr="0020401B">
        <w:t xml:space="preserve">, the Commission </w:t>
      </w:r>
      <w:r w:rsidR="00B9491D">
        <w:t>concluded that</w:t>
      </w:r>
      <w:r w:rsidRPr="0020401B">
        <w:t xml:space="preserve"> the impact of future reforms </w:t>
      </w:r>
      <w:r w:rsidR="00B9491D">
        <w:t xml:space="preserve">was </w:t>
      </w:r>
      <w:r w:rsidRPr="0020401B">
        <w:t>too uncertain to warrant significant weight.</w:t>
      </w:r>
    </w:p>
    <w:p w14:paraId="72C1F55B" w14:textId="4DD623AF" w:rsidR="0020401B" w:rsidRPr="0020401B" w:rsidRDefault="0020401B" w:rsidP="00AF3608">
      <w:pPr>
        <w:spacing w:after="100"/>
        <w:jc w:val="both"/>
      </w:pPr>
      <w:r w:rsidRPr="0020401B">
        <w:t xml:space="preserve">In other </w:t>
      </w:r>
      <w:r w:rsidR="000513B7">
        <w:t>instances</w:t>
      </w:r>
      <w:r w:rsidRPr="0020401B">
        <w:t>, however, it has acknowledged that changing socioeconomic conditions could influence future vulnerability to gambling harm. Examples include:</w:t>
      </w:r>
    </w:p>
    <w:p w14:paraId="15EE8CE3" w14:textId="5EE5E432" w:rsidR="0020401B" w:rsidRPr="0020401B" w:rsidRDefault="00B9491D" w:rsidP="00565DE7">
      <w:pPr>
        <w:numPr>
          <w:ilvl w:val="0"/>
          <w:numId w:val="11"/>
        </w:numPr>
        <w:spacing w:after="60"/>
        <w:ind w:left="714" w:hanging="357"/>
        <w:jc w:val="both"/>
      </w:pPr>
      <w:r>
        <w:t>t</w:t>
      </w:r>
      <w:r w:rsidR="0020401B" w:rsidRPr="0020401B">
        <w:t xml:space="preserve">he possibility that </w:t>
      </w:r>
      <w:r w:rsidR="003F50EA">
        <w:t>changing</w:t>
      </w:r>
      <w:r w:rsidR="0020401B" w:rsidRPr="0020401B">
        <w:t xml:space="preserve"> socioeconomic conditions may </w:t>
      </w:r>
      <w:r w:rsidR="003F50EA">
        <w:t>alter</w:t>
      </w:r>
      <w:r w:rsidR="0020401B" w:rsidRPr="0020401B">
        <w:t xml:space="preserve"> vulnerability to gambling-related harm (</w:t>
      </w:r>
      <w:r w:rsidR="0020401B" w:rsidRPr="002C1C04">
        <w:rPr>
          <w:i/>
          <w:iCs/>
        </w:rPr>
        <w:t>Huntly Hotel, Greater Bendigo, 2024</w:t>
      </w:r>
      <w:r w:rsidR="003F50EA">
        <w:rPr>
          <w:i/>
          <w:iCs/>
        </w:rPr>
        <w:t>;</w:t>
      </w:r>
      <w:r w:rsidR="003F50EA" w:rsidRPr="003F50EA">
        <w:rPr>
          <w:i/>
          <w:iCs/>
        </w:rPr>
        <w:t xml:space="preserve"> </w:t>
      </w:r>
      <w:r w:rsidR="003F50EA" w:rsidRPr="002C1C04">
        <w:rPr>
          <w:i/>
          <w:iCs/>
        </w:rPr>
        <w:t>Valley Inn Hotel, Greater Geelong, 2022</w:t>
      </w:r>
      <w:r w:rsidR="0020401B" w:rsidRPr="0020401B">
        <w:t>)</w:t>
      </w:r>
      <w:r>
        <w:t>;</w:t>
      </w:r>
      <w:r w:rsidR="003F50EA">
        <w:t xml:space="preserve"> and</w:t>
      </w:r>
    </w:p>
    <w:p w14:paraId="34A7CE77" w14:textId="4E4524B5" w:rsidR="0020401B" w:rsidRPr="0020401B" w:rsidRDefault="00B9491D" w:rsidP="0020401B">
      <w:pPr>
        <w:numPr>
          <w:ilvl w:val="0"/>
          <w:numId w:val="13"/>
        </w:numPr>
        <w:jc w:val="both"/>
      </w:pPr>
      <w:r>
        <w:t>f</w:t>
      </w:r>
      <w:r w:rsidR="0020401B" w:rsidRPr="0020401B">
        <w:t>orecast population growth reducing EGM density and gam</w:t>
      </w:r>
      <w:r w:rsidR="003F50EA">
        <w:t>bl</w:t>
      </w:r>
      <w:r w:rsidR="0020401B" w:rsidRPr="0020401B">
        <w:t>ing losses per adult (</w:t>
      </w:r>
      <w:r w:rsidR="0020401B" w:rsidRPr="0020401B">
        <w:rPr>
          <w:i/>
          <w:iCs/>
        </w:rPr>
        <w:t>Cranbourne Pakenham Racing Club, 2026</w:t>
      </w:r>
      <w:r w:rsidR="0020401B" w:rsidRPr="0020401B">
        <w:t>).</w:t>
      </w:r>
    </w:p>
    <w:p w14:paraId="24A873B0"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t>The Nature of Gambling Harm</w:t>
      </w:r>
    </w:p>
    <w:p w14:paraId="6D6AF336" w14:textId="6E58F25B" w:rsidR="0020401B" w:rsidRPr="0020401B" w:rsidRDefault="0020401B" w:rsidP="00565DE7">
      <w:pPr>
        <w:spacing w:after="100"/>
        <w:jc w:val="both"/>
      </w:pPr>
      <w:r w:rsidRPr="0020401B">
        <w:t xml:space="preserve">The Commission </w:t>
      </w:r>
      <w:r w:rsidR="000513B7">
        <w:t>concedes</w:t>
      </w:r>
      <w:r w:rsidRPr="0020401B">
        <w:t xml:space="preserve"> that gambling harm may affect not only people experiencing severe gambling problems but also those at moderate or low risk of harm.</w:t>
      </w:r>
    </w:p>
    <w:p w14:paraId="226B671F" w14:textId="77777777" w:rsidR="00D80678" w:rsidRPr="002C1C04" w:rsidRDefault="00D80678" w:rsidP="002C1C04">
      <w:pPr>
        <w:spacing w:before="120" w:after="60"/>
        <w:jc w:val="both"/>
        <w:rPr>
          <w:b/>
          <w:bCs/>
          <w:color w:val="153D63" w:themeColor="text2" w:themeTint="E6"/>
        </w:rPr>
      </w:pPr>
      <w:r w:rsidRPr="002C1C04">
        <w:rPr>
          <w:b/>
          <w:bCs/>
          <w:color w:val="153D63" w:themeColor="text2" w:themeTint="E6"/>
        </w:rPr>
        <w:t>Family violence</w:t>
      </w:r>
    </w:p>
    <w:p w14:paraId="4BF2FFE6" w14:textId="77777777" w:rsidR="000513B7" w:rsidRDefault="000513B7" w:rsidP="000513B7">
      <w:pPr>
        <w:spacing w:after="100"/>
        <w:jc w:val="both"/>
      </w:pPr>
      <w:r w:rsidRPr="00920F6E">
        <w:t xml:space="preserve">While these notes relate to decisions taken since 2021, in several earlier </w:t>
      </w:r>
      <w:r>
        <w:t>cases</w:t>
      </w:r>
      <w:r w:rsidRPr="00920F6E">
        <w:t xml:space="preserve"> the Commission </w:t>
      </w:r>
      <w:r>
        <w:t xml:space="preserve">has </w:t>
      </w:r>
      <w:r w:rsidRPr="00920F6E">
        <w:t xml:space="preserve">challenged the proposition that gambling-related problems cause family violence, </w:t>
      </w:r>
      <w:r>
        <w:t>asserting</w:t>
      </w:r>
      <w:r w:rsidRPr="00920F6E">
        <w:t xml:space="preserve"> that most available evidence on the subject merely pointed to a correlation (</w:t>
      </w:r>
      <w:r w:rsidRPr="00565DE7">
        <w:rPr>
          <w:i/>
          <w:iCs/>
        </w:rPr>
        <w:t>Commercial Hotel, Whittlesea, 2016; Ballarat Golf Club, Ballarat, 2018; Dandenong RSL, Greater Dandenong. 2018; Berwick Springs Hotel, Casey, 2017</w:t>
      </w:r>
      <w:r>
        <w:t>)</w:t>
      </w:r>
      <w:r w:rsidRPr="00920F6E">
        <w:t xml:space="preserve">. </w:t>
      </w:r>
    </w:p>
    <w:p w14:paraId="0D5FDB0B" w14:textId="14646F28" w:rsidR="00D80678" w:rsidRPr="00565DE7" w:rsidRDefault="00D80678" w:rsidP="00565DE7">
      <w:pPr>
        <w:spacing w:after="100"/>
        <w:jc w:val="both"/>
      </w:pPr>
      <w:r w:rsidRPr="00565DE7">
        <w:t xml:space="preserve">In </w:t>
      </w:r>
      <w:r w:rsidR="000513B7">
        <w:t>a more recent</w:t>
      </w:r>
      <w:r w:rsidRPr="00565DE7">
        <w:t xml:space="preserve"> instance, the Commission </w:t>
      </w:r>
      <w:r w:rsidR="000513B7">
        <w:t>recognised</w:t>
      </w:r>
      <w:r w:rsidRPr="00565DE7">
        <w:t xml:space="preserve"> a relationship between gambling-related problems and family violence, though </w:t>
      </w:r>
      <w:r w:rsidR="000513B7">
        <w:t>without</w:t>
      </w:r>
      <w:r w:rsidRPr="00565DE7">
        <w:t xml:space="preserve"> </w:t>
      </w:r>
      <w:r w:rsidR="000513B7">
        <w:t>acknowledging</w:t>
      </w:r>
      <w:r w:rsidRPr="00565DE7">
        <w:t xml:space="preserve"> a causal link</w:t>
      </w:r>
      <w:r w:rsidR="00E44530">
        <w:t xml:space="preserve"> (</w:t>
      </w:r>
      <w:r w:rsidR="00E44530" w:rsidRPr="00E44530">
        <w:rPr>
          <w:i/>
          <w:iCs/>
        </w:rPr>
        <w:t>Club Tarneit, Wyndham, 2021</w:t>
      </w:r>
      <w:r w:rsidR="00E44530">
        <w:t>)</w:t>
      </w:r>
      <w:r w:rsidRPr="00565DE7">
        <w:t>. It added that no evidence concerning the prospective impact of the application upon levels of family violence had been adduced at the hearing.</w:t>
      </w:r>
    </w:p>
    <w:p w14:paraId="3C156944" w14:textId="77777777" w:rsidR="00D80678" w:rsidRPr="00920F6E" w:rsidRDefault="00D80678" w:rsidP="00565DE7">
      <w:pPr>
        <w:spacing w:after="100"/>
        <w:jc w:val="both"/>
      </w:pPr>
      <w:r w:rsidRPr="00920F6E">
        <w:t xml:space="preserve">On some occasions though, </w:t>
      </w:r>
      <w:r>
        <w:t>the Commission has</w:t>
      </w:r>
      <w:r w:rsidRPr="00920F6E">
        <w:t xml:space="preserve"> concede</w:t>
      </w:r>
      <w:r>
        <w:t>d</w:t>
      </w:r>
      <w:r w:rsidRPr="00920F6E">
        <w:t xml:space="preserve"> that the granting of an application may contribute to family violence (</w:t>
      </w:r>
      <w:r w:rsidRPr="00565DE7">
        <w:rPr>
          <w:i/>
          <w:iCs/>
        </w:rPr>
        <w:t>Noble Park Football club, Greater Dandenong, 2027; Highlands Hotel, Hume; Commercial Hotel, Whittlesea, 2016</w:t>
      </w:r>
      <w:r w:rsidRPr="00920F6E">
        <w:t>)</w:t>
      </w:r>
      <w:r>
        <w:t xml:space="preserve"> – which represents a causal relationship</w:t>
      </w:r>
      <w:r w:rsidRPr="00920F6E">
        <w:t>.</w:t>
      </w:r>
    </w:p>
    <w:p w14:paraId="64EE2643" w14:textId="7B723787" w:rsidR="0020401B" w:rsidRPr="002C1C04" w:rsidRDefault="0020401B" w:rsidP="002C1C04">
      <w:pPr>
        <w:spacing w:before="120" w:after="60"/>
        <w:jc w:val="both"/>
        <w:rPr>
          <w:b/>
          <w:bCs/>
          <w:color w:val="153D63" w:themeColor="text2" w:themeTint="E6"/>
        </w:rPr>
      </w:pPr>
      <w:r w:rsidRPr="002C1C04">
        <w:rPr>
          <w:b/>
          <w:bCs/>
          <w:color w:val="153D63" w:themeColor="text2" w:themeTint="E6"/>
        </w:rPr>
        <w:t>Measures of Community Concern</w:t>
      </w:r>
    </w:p>
    <w:p w14:paraId="1F3ED360" w14:textId="7093C015" w:rsidR="0020401B" w:rsidRPr="0020401B" w:rsidRDefault="0020401B" w:rsidP="00565DE7">
      <w:pPr>
        <w:spacing w:after="100"/>
        <w:jc w:val="both"/>
      </w:pPr>
      <w:r w:rsidRPr="0020401B">
        <w:t xml:space="preserve">The Commission considers community concerns when assessing applications, including the views of local councils as representatives of their communities. However, less weight may be given where opposition </w:t>
      </w:r>
      <w:r w:rsidR="000513B7">
        <w:t>founded upon</w:t>
      </w:r>
      <w:r w:rsidRPr="0020401B">
        <w:t xml:space="preserve"> council gambling policies rather than specific aspects of the application, or where councils</w:t>
      </w:r>
      <w:r w:rsidR="003F50EA">
        <w:t>,</w:t>
      </w:r>
      <w:r w:rsidRPr="0020401B">
        <w:t xml:space="preserve"> </w:t>
      </w:r>
      <w:r w:rsidR="003F50EA">
        <w:t>or</w:t>
      </w:r>
      <w:r w:rsidRPr="0020401B">
        <w:t xml:space="preserve"> authors of social impact reports</w:t>
      </w:r>
      <w:r w:rsidR="003F50EA">
        <w:t>,</w:t>
      </w:r>
      <w:r w:rsidRPr="0020401B">
        <w:t xml:space="preserve"> do not provide oral evidence at hearings.</w:t>
      </w:r>
    </w:p>
    <w:p w14:paraId="483FC717" w14:textId="119EB813" w:rsidR="0020401B" w:rsidRPr="0020401B" w:rsidRDefault="0020401B" w:rsidP="00565DE7">
      <w:pPr>
        <w:spacing w:after="100"/>
        <w:jc w:val="both"/>
      </w:pPr>
      <w:r w:rsidRPr="0020401B">
        <w:t>Community surveys are also considered, although surveys commissioned by applicants and councils often differ in methodology and findings. Additional feedback may come from residents, businesses, community groups and local agencies</w:t>
      </w:r>
      <w:r>
        <w:t>, with t</w:t>
      </w:r>
      <w:r w:rsidRPr="0020401B">
        <w:t>he Commission emphasis</w:t>
      </w:r>
      <w:r>
        <w:t>ing</w:t>
      </w:r>
      <w:r w:rsidRPr="0020401B">
        <w:t xml:space="preserve"> the value </w:t>
      </w:r>
      <w:r w:rsidR="003F50EA">
        <w:t>of</w:t>
      </w:r>
      <w:r w:rsidR="00D80678" w:rsidRPr="00565DE7">
        <w:t xml:space="preserve"> “detailed…serious and sincere opposition” (</w:t>
      </w:r>
      <w:r w:rsidR="00D80678" w:rsidRPr="00565DE7">
        <w:rPr>
          <w:i/>
          <w:iCs/>
        </w:rPr>
        <w:t>Club Wodonga, Wodonga, 70 EGMs, refused</w:t>
      </w:r>
      <w:r w:rsidR="00D80678" w:rsidRPr="00565DE7">
        <w:t>).</w:t>
      </w:r>
    </w:p>
    <w:p w14:paraId="51C5A68E" w14:textId="0D0906DC" w:rsidR="0020401B" w:rsidRDefault="0020401B" w:rsidP="00565DE7">
      <w:pPr>
        <w:spacing w:after="100"/>
        <w:jc w:val="both"/>
      </w:pPr>
      <w:r w:rsidRPr="0020401B">
        <w:t xml:space="preserve">The extent to which community concern influences decisions is not always explicit </w:t>
      </w:r>
      <w:r w:rsidR="003F50EA">
        <w:t>since</w:t>
      </w:r>
      <w:r w:rsidRPr="0020401B">
        <w:t xml:space="preserve"> it is only one of many factors considered. Nevertheless, in </w:t>
      </w:r>
      <w:r w:rsidRPr="00565DE7">
        <w:rPr>
          <w:i/>
          <w:iCs/>
        </w:rPr>
        <w:t>Romsey Community Hotel</w:t>
      </w:r>
      <w:r w:rsidRPr="00565DE7">
        <w:t xml:space="preserve"> (2024)</w:t>
      </w:r>
      <w:r w:rsidRPr="0020401B">
        <w:t xml:space="preserve"> the Commission concluded that approval of the application would diminish residents’ satisfaction with their community. </w:t>
      </w:r>
      <w:r w:rsidR="009C54FC">
        <w:t>Indeed, t</w:t>
      </w:r>
      <w:r w:rsidRPr="0020401B">
        <w:t xml:space="preserve">he Commission </w:t>
      </w:r>
      <w:r w:rsidR="009C54FC">
        <w:t>has</w:t>
      </w:r>
      <w:r w:rsidRPr="0020401B">
        <w:t xml:space="preserve"> </w:t>
      </w:r>
      <w:r>
        <w:t>remarked</w:t>
      </w:r>
      <w:r w:rsidRPr="0020401B">
        <w:t xml:space="preserve"> that the Court of Appeal has determined that applications likely to cause unhappiness within a community may adversely affect community wellbeing</w:t>
      </w:r>
      <w:r w:rsidR="00D80678">
        <w:t xml:space="preserve"> </w:t>
      </w:r>
      <w:r w:rsidR="00D80678" w:rsidRPr="00565DE7">
        <w:t>(</w:t>
      </w:r>
      <w:r w:rsidR="00D80678" w:rsidRPr="00565DE7">
        <w:rPr>
          <w:i/>
          <w:iCs/>
        </w:rPr>
        <w:t>Dorset Gardens Hotel, Maroondah, 8 EGMs, approved</w:t>
      </w:r>
      <w:r w:rsidR="00D80678" w:rsidRPr="00565DE7">
        <w:t>)</w:t>
      </w:r>
      <w:r w:rsidRPr="0020401B">
        <w:t>.</w:t>
      </w:r>
    </w:p>
    <w:p w14:paraId="1FC744AE" w14:textId="77777777" w:rsidR="003F50EA" w:rsidRDefault="003F50EA" w:rsidP="00565DE7">
      <w:pPr>
        <w:spacing w:after="100"/>
        <w:jc w:val="both"/>
      </w:pPr>
    </w:p>
    <w:p w14:paraId="088869BF" w14:textId="77777777" w:rsidR="003F50EA" w:rsidRDefault="003F50EA" w:rsidP="00565DE7">
      <w:pPr>
        <w:spacing w:after="100"/>
        <w:jc w:val="both"/>
      </w:pPr>
    </w:p>
    <w:p w14:paraId="26937053"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lastRenderedPageBreak/>
        <w:t>Community Support Offered by the Venue</w:t>
      </w:r>
    </w:p>
    <w:p w14:paraId="29471802" w14:textId="15C8C378" w:rsidR="0020401B" w:rsidRPr="0020401B" w:rsidRDefault="0020401B" w:rsidP="00B9491D">
      <w:pPr>
        <w:spacing w:after="100"/>
        <w:jc w:val="both"/>
      </w:pPr>
      <w:r w:rsidRPr="0020401B">
        <w:t xml:space="preserve">The Commission generally supports commitments by applicants to provide ongoing funding for community projects, </w:t>
      </w:r>
      <w:r w:rsidR="00B9491D">
        <w:t xml:space="preserve">favouring projects that </w:t>
      </w:r>
      <w:r w:rsidRPr="0020401B">
        <w:t>are clearly defined</w:t>
      </w:r>
      <w:r w:rsidR="00B9491D">
        <w:t>, with f</w:t>
      </w:r>
      <w:r w:rsidRPr="0020401B">
        <w:t>unds directed to respected local organisations</w:t>
      </w:r>
      <w:r w:rsidR="00B9491D">
        <w:t>, a</w:t>
      </w:r>
      <w:r w:rsidRPr="0020401B">
        <w:t xml:space="preserve">ctivities </w:t>
      </w:r>
      <w:r w:rsidR="00B9491D">
        <w:t>which address</w:t>
      </w:r>
      <w:r w:rsidRPr="0020401B">
        <w:t xml:space="preserve"> identified community needs</w:t>
      </w:r>
      <w:r w:rsidR="00B9491D">
        <w:t>, and c</w:t>
      </w:r>
      <w:r w:rsidRPr="0020401B">
        <w:t xml:space="preserve">ommitments </w:t>
      </w:r>
      <w:r w:rsidR="00B9491D">
        <w:t xml:space="preserve">which </w:t>
      </w:r>
      <w:r w:rsidRPr="0020401B">
        <w:t>are specific, enforceable and ongoing.</w:t>
      </w:r>
    </w:p>
    <w:p w14:paraId="2770C504" w14:textId="254DB338" w:rsidR="0020401B" w:rsidRPr="0020401B" w:rsidRDefault="003F50EA" w:rsidP="00AF3608">
      <w:pPr>
        <w:spacing w:after="100"/>
        <w:jc w:val="both"/>
      </w:pPr>
      <w:r>
        <w:t>By contrast, l</w:t>
      </w:r>
      <w:r w:rsidR="0020401B" w:rsidRPr="0020401B">
        <w:t xml:space="preserve">ess weight is </w:t>
      </w:r>
      <w:r>
        <w:t xml:space="preserve">ascribed </w:t>
      </w:r>
      <w:r w:rsidR="0020401B" w:rsidRPr="0020401B">
        <w:t>to offers of support that:</w:t>
      </w:r>
    </w:p>
    <w:p w14:paraId="2C42FE73" w14:textId="4DDFE37B" w:rsidR="0020401B" w:rsidRPr="0020401B" w:rsidRDefault="00B9491D" w:rsidP="00565DE7">
      <w:pPr>
        <w:numPr>
          <w:ilvl w:val="0"/>
          <w:numId w:val="15"/>
        </w:numPr>
        <w:spacing w:after="60"/>
        <w:jc w:val="both"/>
      </w:pPr>
      <w:r>
        <w:t>w</w:t>
      </w:r>
      <w:r w:rsidR="0020401B" w:rsidRPr="0020401B">
        <w:t>ould be provided regardless of the application's outcome</w:t>
      </w:r>
      <w:r>
        <w:t>;</w:t>
      </w:r>
    </w:p>
    <w:p w14:paraId="21284D02" w14:textId="5FF0AAAA" w:rsidR="0020401B" w:rsidRPr="0020401B" w:rsidRDefault="00B9491D" w:rsidP="00565DE7">
      <w:pPr>
        <w:numPr>
          <w:ilvl w:val="0"/>
          <w:numId w:val="15"/>
        </w:numPr>
        <w:spacing w:after="60"/>
        <w:jc w:val="both"/>
      </w:pPr>
      <w:r>
        <w:t>m</w:t>
      </w:r>
      <w:r w:rsidR="0020401B" w:rsidRPr="0020401B">
        <w:t xml:space="preserve">erely </w:t>
      </w:r>
      <w:r w:rsidR="003F50EA">
        <w:t>perpetuate</w:t>
      </w:r>
      <w:r w:rsidR="0020401B" w:rsidRPr="0020401B">
        <w:t xml:space="preserve"> existing support arrangements</w:t>
      </w:r>
      <w:r>
        <w:t>;</w:t>
      </w:r>
    </w:p>
    <w:p w14:paraId="221F074A" w14:textId="1BA75430" w:rsidR="0020401B" w:rsidRPr="0020401B" w:rsidRDefault="00B9491D" w:rsidP="00565DE7">
      <w:pPr>
        <w:numPr>
          <w:ilvl w:val="0"/>
          <w:numId w:val="15"/>
        </w:numPr>
        <w:spacing w:after="60"/>
        <w:jc w:val="both"/>
      </w:pPr>
      <w:r>
        <w:t>are encompassed in</w:t>
      </w:r>
      <w:r w:rsidR="0020401B" w:rsidRPr="0020401B">
        <w:t xml:space="preserve"> vague or poorly defined</w:t>
      </w:r>
      <w:r>
        <w:t xml:space="preserve"> pledges</w:t>
      </w:r>
      <w:r w:rsidR="00D80678">
        <w:t xml:space="preserve"> -</w:t>
      </w:r>
      <w:r w:rsidR="00D80678">
        <w:rPr>
          <w:lang w:val="en-US"/>
        </w:rPr>
        <w:t xml:space="preserve"> such as ‘support for community groups’ (</w:t>
      </w:r>
      <w:r w:rsidR="00D80678" w:rsidRPr="00D80678">
        <w:rPr>
          <w:i/>
          <w:iCs/>
          <w:lang w:val="en-US"/>
        </w:rPr>
        <w:t>Club Wodonga, Wodonga, 70 EGMs, refused</w:t>
      </w:r>
      <w:r w:rsidR="00D80678">
        <w:rPr>
          <w:lang w:val="en-US"/>
        </w:rPr>
        <w:t>)</w:t>
      </w:r>
      <w:r>
        <w:rPr>
          <w:lang w:val="en-US"/>
        </w:rPr>
        <w:t>;</w:t>
      </w:r>
    </w:p>
    <w:p w14:paraId="1B677940" w14:textId="53166E9D" w:rsidR="0020401B" w:rsidRPr="0020401B" w:rsidRDefault="00B9491D" w:rsidP="00565DE7">
      <w:pPr>
        <w:numPr>
          <w:ilvl w:val="0"/>
          <w:numId w:val="15"/>
        </w:numPr>
        <w:spacing w:after="60"/>
        <w:jc w:val="both"/>
      </w:pPr>
      <w:r>
        <w:t>d</w:t>
      </w:r>
      <w:r w:rsidR="0020401B" w:rsidRPr="0020401B">
        <w:t>uplicate commitments made in earlier applications</w:t>
      </w:r>
      <w:r>
        <w:t>;</w:t>
      </w:r>
    </w:p>
    <w:p w14:paraId="6BA35E25" w14:textId="5501D5D2" w:rsidR="0020401B" w:rsidRPr="0020401B" w:rsidRDefault="00B9491D" w:rsidP="00565DE7">
      <w:pPr>
        <w:numPr>
          <w:ilvl w:val="0"/>
          <w:numId w:val="15"/>
        </w:numPr>
        <w:spacing w:after="60"/>
        <w:jc w:val="both"/>
      </w:pPr>
      <w:r>
        <w:t>l</w:t>
      </w:r>
      <w:r w:rsidR="0020401B" w:rsidRPr="0020401B">
        <w:t>ack transparency regarding the allocation and use of funds</w:t>
      </w:r>
      <w:r>
        <w:t>; and</w:t>
      </w:r>
    </w:p>
    <w:p w14:paraId="755F9FBC" w14:textId="69EFF846" w:rsidR="0020401B" w:rsidRPr="0020401B" w:rsidRDefault="00B9491D" w:rsidP="0020401B">
      <w:pPr>
        <w:numPr>
          <w:ilvl w:val="0"/>
          <w:numId w:val="15"/>
        </w:numPr>
        <w:jc w:val="both"/>
      </w:pPr>
      <w:r>
        <w:t>c</w:t>
      </w:r>
      <w:r w:rsidR="0020401B" w:rsidRPr="0020401B">
        <w:t>onsist primarily of sponsorships, commercial arrangements or apprenticeship wages.</w:t>
      </w:r>
    </w:p>
    <w:p w14:paraId="707FD785" w14:textId="7AB8AEF1" w:rsidR="0020401B" w:rsidRPr="002C1C04" w:rsidRDefault="0020401B" w:rsidP="002C1C04">
      <w:pPr>
        <w:spacing w:before="120" w:after="60"/>
        <w:jc w:val="both"/>
        <w:rPr>
          <w:b/>
          <w:bCs/>
          <w:color w:val="153D63" w:themeColor="text2" w:themeTint="E6"/>
        </w:rPr>
      </w:pPr>
      <w:r w:rsidRPr="002C1C04">
        <w:rPr>
          <w:b/>
          <w:bCs/>
          <w:color w:val="153D63" w:themeColor="text2" w:themeTint="E6"/>
        </w:rPr>
        <w:t xml:space="preserve">Benefits of Increased </w:t>
      </w:r>
      <w:r w:rsidR="00DB6807">
        <w:rPr>
          <w:b/>
          <w:bCs/>
          <w:color w:val="153D63" w:themeColor="text2" w:themeTint="E6"/>
        </w:rPr>
        <w:t>Gambling</w:t>
      </w:r>
      <w:r w:rsidRPr="002C1C04">
        <w:rPr>
          <w:b/>
          <w:bCs/>
          <w:color w:val="153D63" w:themeColor="text2" w:themeTint="E6"/>
        </w:rPr>
        <w:t xml:space="preserve"> Opportunities</w:t>
      </w:r>
    </w:p>
    <w:p w14:paraId="737BFCA1" w14:textId="4D471388" w:rsidR="0020401B" w:rsidRPr="0020401B" w:rsidRDefault="0020401B" w:rsidP="00565DE7">
      <w:pPr>
        <w:spacing w:after="100"/>
        <w:jc w:val="both"/>
      </w:pPr>
      <w:r w:rsidRPr="0020401B">
        <w:t xml:space="preserve">Applicants commonly estimate the proportion of new </w:t>
      </w:r>
      <w:r w:rsidR="00DB6807">
        <w:t>gambling</w:t>
      </w:r>
      <w:r w:rsidRPr="0020401B">
        <w:t xml:space="preserve"> expenditure that would not be associated with gambling problems. The Commission generally regards expenditure by patrons not experiencing gambling-related harm as reflecting improved opportunities for recreational gambling.</w:t>
      </w:r>
    </w:p>
    <w:p w14:paraId="76979B4E" w14:textId="316D1784" w:rsidR="0020401B" w:rsidRPr="0020401B" w:rsidRDefault="0020401B" w:rsidP="00565DE7">
      <w:pPr>
        <w:spacing w:after="100"/>
        <w:jc w:val="both"/>
      </w:pPr>
      <w:r w:rsidRPr="0020401B">
        <w:t xml:space="preserve">High EGM utilisation may be interpreted as evidence of unmet demand and support the case for additional machines. Conversely, where utilisation is low, the application involves only a small number of machines, or there are already many </w:t>
      </w:r>
      <w:r w:rsidR="00DB6807">
        <w:t>gambling</w:t>
      </w:r>
      <w:r w:rsidRPr="0020401B">
        <w:t xml:space="preserve"> venues in the area, the Commission may conclude that the proposal offers only limited additional </w:t>
      </w:r>
      <w:r w:rsidR="00DB6807">
        <w:t>gambling</w:t>
      </w:r>
      <w:r w:rsidRPr="0020401B">
        <w:t xml:space="preserve"> opportunities.</w:t>
      </w:r>
    </w:p>
    <w:p w14:paraId="312DF20D" w14:textId="4AE4DF16" w:rsidR="0020401B" w:rsidRPr="0020401B" w:rsidRDefault="0020401B" w:rsidP="00565DE7">
      <w:pPr>
        <w:spacing w:after="100"/>
        <w:jc w:val="both"/>
      </w:pPr>
      <w:r w:rsidRPr="0020401B">
        <w:t xml:space="preserve">The Commission has also acknowledged that some residents may prefer entertainment venues that do not contain </w:t>
      </w:r>
      <w:r w:rsidR="00DB6807">
        <w:t>gambling</w:t>
      </w:r>
      <w:r w:rsidRPr="0020401B">
        <w:t xml:space="preserve"> machines.</w:t>
      </w:r>
    </w:p>
    <w:p w14:paraId="01D2FDD8" w14:textId="0022BF6C" w:rsidR="0020401B" w:rsidRPr="0020401B" w:rsidRDefault="00DB6807" w:rsidP="002C1C04">
      <w:pPr>
        <w:spacing w:before="240"/>
        <w:jc w:val="both"/>
        <w:rPr>
          <w:rFonts w:ascii="Garamond" w:hAnsi="Garamond"/>
          <w:b/>
          <w:bCs/>
          <w:color w:val="153D63" w:themeColor="text2" w:themeTint="E6"/>
          <w:sz w:val="32"/>
          <w:szCs w:val="32"/>
        </w:rPr>
      </w:pPr>
      <w:r>
        <w:rPr>
          <w:rFonts w:ascii="Garamond" w:hAnsi="Garamond"/>
          <w:b/>
          <w:bCs/>
          <w:color w:val="153D63" w:themeColor="text2" w:themeTint="E6"/>
          <w:sz w:val="32"/>
          <w:szCs w:val="32"/>
        </w:rPr>
        <w:t>Gambling</w:t>
      </w:r>
      <w:r w:rsidR="0020401B" w:rsidRPr="0020401B">
        <w:rPr>
          <w:rFonts w:ascii="Garamond" w:hAnsi="Garamond"/>
          <w:b/>
          <w:bCs/>
          <w:color w:val="153D63" w:themeColor="text2" w:themeTint="E6"/>
          <w:sz w:val="32"/>
          <w:szCs w:val="32"/>
        </w:rPr>
        <w:t xml:space="preserve"> Expenditure</w:t>
      </w:r>
    </w:p>
    <w:p w14:paraId="166108BC" w14:textId="7FED9AC3" w:rsidR="0020401B" w:rsidRPr="002C1C04" w:rsidRDefault="0020401B" w:rsidP="002C1C04">
      <w:pPr>
        <w:spacing w:before="120" w:after="60"/>
        <w:jc w:val="both"/>
        <w:rPr>
          <w:b/>
          <w:bCs/>
          <w:color w:val="153D63" w:themeColor="text2" w:themeTint="E6"/>
        </w:rPr>
      </w:pPr>
      <w:r w:rsidRPr="002C1C04">
        <w:rPr>
          <w:b/>
          <w:bCs/>
          <w:color w:val="153D63" w:themeColor="text2" w:themeTint="E6"/>
        </w:rPr>
        <w:t xml:space="preserve">Estimates of Increased </w:t>
      </w:r>
      <w:r w:rsidR="00DB6807">
        <w:rPr>
          <w:b/>
          <w:bCs/>
          <w:color w:val="153D63" w:themeColor="text2" w:themeTint="E6"/>
        </w:rPr>
        <w:t>Gambling</w:t>
      </w:r>
      <w:r w:rsidRPr="002C1C04">
        <w:rPr>
          <w:b/>
          <w:bCs/>
          <w:color w:val="153D63" w:themeColor="text2" w:themeTint="E6"/>
        </w:rPr>
        <w:t xml:space="preserve"> Expenditure</w:t>
      </w:r>
    </w:p>
    <w:p w14:paraId="2398CFCB" w14:textId="01CD234B" w:rsidR="0020401B" w:rsidRPr="0020401B" w:rsidRDefault="0020401B" w:rsidP="00565DE7">
      <w:pPr>
        <w:spacing w:after="60"/>
        <w:jc w:val="both"/>
      </w:pPr>
      <w:r w:rsidRPr="0020401B">
        <w:t xml:space="preserve">Expert witnesses appearing for applicants typically provide forecasts of the increase in </w:t>
      </w:r>
      <w:r w:rsidR="00DB6807">
        <w:t>gambling</w:t>
      </w:r>
      <w:r w:rsidRPr="0020401B">
        <w:t xml:space="preserve"> expenditure that would result if an application were approved. These forecasts generally distinguish between:</w:t>
      </w:r>
    </w:p>
    <w:p w14:paraId="386871C4" w14:textId="77777777" w:rsidR="0020401B" w:rsidRPr="0020401B" w:rsidRDefault="0020401B" w:rsidP="00565DE7">
      <w:pPr>
        <w:numPr>
          <w:ilvl w:val="0"/>
          <w:numId w:val="1"/>
        </w:numPr>
        <w:spacing w:after="60"/>
        <w:jc w:val="both"/>
      </w:pPr>
      <w:r w:rsidRPr="0020401B">
        <w:rPr>
          <w:b/>
          <w:bCs/>
        </w:rPr>
        <w:t>Transferred expenditure</w:t>
      </w:r>
      <w:r w:rsidRPr="0020401B">
        <w:t xml:space="preserve"> – expenditure diverted from other venues and businesses within the municipality.</w:t>
      </w:r>
    </w:p>
    <w:p w14:paraId="19E14FEF" w14:textId="77777777" w:rsidR="0020401B" w:rsidRPr="0020401B" w:rsidRDefault="0020401B" w:rsidP="00565DE7">
      <w:pPr>
        <w:numPr>
          <w:ilvl w:val="0"/>
          <w:numId w:val="1"/>
        </w:numPr>
        <w:spacing w:after="60"/>
        <w:jc w:val="both"/>
      </w:pPr>
      <w:r w:rsidRPr="0020401B">
        <w:rPr>
          <w:b/>
          <w:bCs/>
        </w:rPr>
        <w:t>New expenditure</w:t>
      </w:r>
      <w:r w:rsidRPr="0020401B">
        <w:t xml:space="preserve"> – expenditure representing a net increase in gambling within the municipality.</w:t>
      </w:r>
    </w:p>
    <w:p w14:paraId="73C45498" w14:textId="77777777" w:rsidR="0020401B" w:rsidRPr="0020401B" w:rsidRDefault="0020401B" w:rsidP="00565DE7">
      <w:pPr>
        <w:spacing w:after="100"/>
        <w:jc w:val="both"/>
      </w:pPr>
      <w:r w:rsidRPr="0020401B">
        <w:t>The Commission usually accepts these forecasts, as they are seldom challenged by councils or other parties.</w:t>
      </w:r>
    </w:p>
    <w:p w14:paraId="4DEE4414" w14:textId="77777777" w:rsidR="0020401B" w:rsidRPr="0020401B" w:rsidRDefault="0020401B" w:rsidP="00565DE7">
      <w:pPr>
        <w:spacing w:after="100"/>
        <w:jc w:val="both"/>
      </w:pPr>
      <w:r w:rsidRPr="0020401B">
        <w:t>Transferred expenditure is generally regarded as having little impact on gambling-related harm because the money was already being spent on gambling within the municipality. New expenditure, by contrast, represents an increase in local gambling expenditure. While it may generate economic benefits for the municipality, at least part of it may also contribute to gambling-related harm.</w:t>
      </w:r>
    </w:p>
    <w:p w14:paraId="48B68CA8" w14:textId="7B22CD37" w:rsidR="0020401B" w:rsidRPr="0020401B" w:rsidRDefault="0020401B" w:rsidP="00565DE7">
      <w:pPr>
        <w:spacing w:after="100"/>
        <w:jc w:val="both"/>
      </w:pPr>
      <w:r w:rsidRPr="0020401B">
        <w:t xml:space="preserve">The Commission considers the proportion of new expenditure likely to be associated with gambling problems. It has generally rejected approaches that rely solely on research estimates of the proportion of </w:t>
      </w:r>
      <w:r w:rsidR="00DB6807">
        <w:t>gambling</w:t>
      </w:r>
      <w:r w:rsidRPr="0020401B">
        <w:t xml:space="preserve"> expenditure attributable to problem gambling, describing such methods as </w:t>
      </w:r>
      <w:r w:rsidR="00E44530" w:rsidRPr="00E44530">
        <w:t>'rudimentary' (</w:t>
      </w:r>
      <w:r w:rsidR="00E44530" w:rsidRPr="00E44530">
        <w:rPr>
          <w:i/>
          <w:iCs/>
        </w:rPr>
        <w:t>Bay Road Hotel, 2022, Melbourne, new venue</w:t>
      </w:r>
      <w:r w:rsidR="00E44530" w:rsidRPr="00E44530">
        <w:t xml:space="preserve">) </w:t>
      </w:r>
      <w:r w:rsidR="00E44530">
        <w:t>for failing</w:t>
      </w:r>
      <w:r w:rsidRPr="0020401B">
        <w:t xml:space="preserve"> to consider the specific characteristics of an application, including management quality and harm-minimisation measures. Instead, the </w:t>
      </w:r>
      <w:r w:rsidRPr="0020401B">
        <w:lastRenderedPageBreak/>
        <w:t xml:space="preserve">Commission </w:t>
      </w:r>
      <w:r w:rsidR="003F50EA">
        <w:t>has expressed it preference for a</w:t>
      </w:r>
      <w:r w:rsidRPr="0020401B">
        <w:t xml:space="preserve"> </w:t>
      </w:r>
      <w:r w:rsidR="003F50EA">
        <w:t>‘</w:t>
      </w:r>
      <w:r w:rsidRPr="0020401B">
        <w:t>qualitative</w:t>
      </w:r>
      <w:r w:rsidR="003F50EA">
        <w:t>’</w:t>
      </w:r>
      <w:r w:rsidRPr="0020401B">
        <w:t xml:space="preserve"> assessment</w:t>
      </w:r>
      <w:r w:rsidR="003F50EA">
        <w:t xml:space="preserve">, intended to balance </w:t>
      </w:r>
      <w:r w:rsidRPr="0020401B">
        <w:t xml:space="preserve">the </w:t>
      </w:r>
      <w:r w:rsidR="00D80909">
        <w:t>attributes and liabilities</w:t>
      </w:r>
      <w:r w:rsidRPr="0020401B">
        <w:t xml:space="preserve"> of the application.</w:t>
      </w:r>
    </w:p>
    <w:p w14:paraId="1E3ED742" w14:textId="77777777" w:rsidR="0020401B" w:rsidRPr="0020401B" w:rsidRDefault="0020401B" w:rsidP="00565DE7">
      <w:pPr>
        <w:spacing w:after="100"/>
        <w:jc w:val="both"/>
      </w:pPr>
      <w:r w:rsidRPr="0020401B">
        <w:t>Consequently, where forecast transferred expenditure is high, or where only a small proportion of new expenditure is expected to contribute to gambling-related harm, the Commission will generally conclude that the risk of harm is relatively low.</w:t>
      </w:r>
    </w:p>
    <w:p w14:paraId="6BD4CABA" w14:textId="77777777" w:rsidR="0020401B" w:rsidRDefault="0020401B" w:rsidP="0020401B">
      <w:pPr>
        <w:jc w:val="both"/>
      </w:pPr>
      <w:r w:rsidRPr="0020401B">
        <w:t>In some decisions, the Commission has also expressed the view that low levels of EGM utilisation indicate a limited prevalence of problem gambling at a venue, although this proposition remains open to debate.</w:t>
      </w:r>
    </w:p>
    <w:p w14:paraId="5D7233E9" w14:textId="77777777" w:rsidR="0020401B" w:rsidRPr="00AF3608" w:rsidRDefault="0020401B" w:rsidP="00565DE7">
      <w:pPr>
        <w:spacing w:before="240" w:after="80"/>
        <w:jc w:val="both"/>
        <w:rPr>
          <w:rFonts w:ascii="Garamond" w:hAnsi="Garamond"/>
          <w:b/>
          <w:bCs/>
          <w:color w:val="153D63" w:themeColor="text2" w:themeTint="E6"/>
          <w:sz w:val="32"/>
          <w:szCs w:val="32"/>
        </w:rPr>
      </w:pPr>
      <w:r w:rsidRPr="00AF3608">
        <w:rPr>
          <w:rFonts w:ascii="Garamond" w:hAnsi="Garamond"/>
          <w:b/>
          <w:bCs/>
          <w:color w:val="153D63" w:themeColor="text2" w:themeTint="E6"/>
          <w:sz w:val="32"/>
          <w:szCs w:val="32"/>
        </w:rPr>
        <w:t>Harm Minimisation</w:t>
      </w:r>
    </w:p>
    <w:p w14:paraId="013E52AE"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t>Features of Applications and Venues That May Reduce Gambling Harm</w:t>
      </w:r>
    </w:p>
    <w:p w14:paraId="4EF6994E" w14:textId="682A802B" w:rsidR="0020401B" w:rsidRPr="0020401B" w:rsidRDefault="0020401B" w:rsidP="00565DE7">
      <w:pPr>
        <w:spacing w:after="100"/>
        <w:jc w:val="both"/>
      </w:pPr>
      <w:r w:rsidRPr="0020401B">
        <w:t xml:space="preserve">The Commission </w:t>
      </w:r>
      <w:r w:rsidR="009C54FC">
        <w:t>holds</w:t>
      </w:r>
      <w:r w:rsidRPr="0020401B">
        <w:t xml:space="preserve"> that gambling-related harm associated with new </w:t>
      </w:r>
      <w:r w:rsidR="00DB6807">
        <w:t>gambling</w:t>
      </w:r>
      <w:r w:rsidRPr="0020401B">
        <w:t xml:space="preserve"> expenditure </w:t>
      </w:r>
      <w:r w:rsidR="002C1C04" w:rsidRPr="00565DE7">
        <w:t>may be substantially reduced "...to a level that is as low as practicable." (</w:t>
      </w:r>
      <w:r w:rsidR="002C1C04" w:rsidRPr="00565DE7">
        <w:rPr>
          <w:i/>
          <w:iCs/>
        </w:rPr>
        <w:t>Huntly Hotel, Greater Bendigo, 2024</w:t>
      </w:r>
      <w:r w:rsidR="002C1C04" w:rsidRPr="00565DE7">
        <w:t xml:space="preserve">), </w:t>
      </w:r>
      <w:r w:rsidRPr="0020401B">
        <w:t xml:space="preserve">through effective management, staff training, compliance with responsible service of gambling (RSG) requirements, and a strong commitment to responsible gambling practices. </w:t>
      </w:r>
      <w:proofErr w:type="gramStart"/>
      <w:r w:rsidRPr="0020401B">
        <w:t>Particular weight</w:t>
      </w:r>
      <w:proofErr w:type="gramEnd"/>
      <w:r w:rsidRPr="0020401B">
        <w:t xml:space="preserve"> is given to measures that exceed minimum legal requirements or are incorporated into enforceable conditions attached to an approval.</w:t>
      </w:r>
    </w:p>
    <w:p w14:paraId="656412BC" w14:textId="049CE697" w:rsidR="0020401B" w:rsidRPr="0020401B" w:rsidRDefault="0020401B" w:rsidP="00AF3608">
      <w:pPr>
        <w:spacing w:after="100"/>
        <w:jc w:val="both"/>
      </w:pPr>
      <w:r w:rsidRPr="0020401B">
        <w:t xml:space="preserve">Other features that the Commission </w:t>
      </w:r>
      <w:r w:rsidR="00F31C60">
        <w:t>contends</w:t>
      </w:r>
      <w:r w:rsidRPr="0020401B">
        <w:t xml:space="preserve"> may reduce the risk of gambling harm include:</w:t>
      </w:r>
    </w:p>
    <w:p w14:paraId="4B2FB3F4" w14:textId="3BF5EE64" w:rsidR="0020401B" w:rsidRPr="0020401B" w:rsidRDefault="00B9491D" w:rsidP="00565DE7">
      <w:pPr>
        <w:numPr>
          <w:ilvl w:val="0"/>
          <w:numId w:val="2"/>
        </w:numPr>
        <w:spacing w:after="60"/>
        <w:jc w:val="both"/>
      </w:pPr>
      <w:r>
        <w:t>t</w:t>
      </w:r>
      <w:r w:rsidR="0020401B" w:rsidRPr="0020401B">
        <w:t>he absence of player loyalty schemes</w:t>
      </w:r>
      <w:r>
        <w:t>;</w:t>
      </w:r>
    </w:p>
    <w:p w14:paraId="00176293" w14:textId="7C123D9B" w:rsidR="0020401B" w:rsidRPr="0020401B" w:rsidRDefault="00B9491D" w:rsidP="00565DE7">
      <w:pPr>
        <w:numPr>
          <w:ilvl w:val="0"/>
          <w:numId w:val="2"/>
        </w:numPr>
        <w:spacing w:after="60"/>
        <w:jc w:val="both"/>
      </w:pPr>
      <w:r>
        <w:t>l</w:t>
      </w:r>
      <w:r w:rsidR="0020401B" w:rsidRPr="0020401B">
        <w:t xml:space="preserve">imited visibility and accessibility of </w:t>
      </w:r>
      <w:r w:rsidR="00DB6807">
        <w:t>gambling</w:t>
      </w:r>
      <w:r w:rsidR="0020401B" w:rsidRPr="0020401B">
        <w:t xml:space="preserve"> areas</w:t>
      </w:r>
      <w:r>
        <w:t>;</w:t>
      </w:r>
    </w:p>
    <w:p w14:paraId="1C2D4718" w14:textId="3CADA56C" w:rsidR="0020401B" w:rsidRPr="0020401B" w:rsidRDefault="00B9491D" w:rsidP="00565DE7">
      <w:pPr>
        <w:numPr>
          <w:ilvl w:val="0"/>
          <w:numId w:val="2"/>
        </w:numPr>
        <w:spacing w:after="60"/>
        <w:jc w:val="both"/>
      </w:pPr>
      <w:r>
        <w:t>v</w:t>
      </w:r>
      <w:r w:rsidR="0020401B" w:rsidRPr="0020401B">
        <w:t xml:space="preserve">enue layouts requiring patrons to pass through the main entrance before reaching </w:t>
      </w:r>
      <w:r w:rsidR="00DB6807">
        <w:t>gambling</w:t>
      </w:r>
      <w:r w:rsidR="0020401B" w:rsidRPr="0020401B">
        <w:t xml:space="preserve"> areas</w:t>
      </w:r>
      <w:r>
        <w:t>;</w:t>
      </w:r>
    </w:p>
    <w:p w14:paraId="100D2536" w14:textId="08D4C91D" w:rsidR="0020401B" w:rsidRPr="0020401B" w:rsidRDefault="00B9491D" w:rsidP="00565DE7">
      <w:pPr>
        <w:numPr>
          <w:ilvl w:val="0"/>
          <w:numId w:val="2"/>
        </w:numPr>
        <w:spacing w:after="60"/>
        <w:jc w:val="both"/>
      </w:pPr>
      <w:r>
        <w:t>d</w:t>
      </w:r>
      <w:r w:rsidR="0020401B" w:rsidRPr="0020401B">
        <w:t xml:space="preserve">estination venues that require a </w:t>
      </w:r>
      <w:r w:rsidR="00AF3608">
        <w:t>purposeful</w:t>
      </w:r>
      <w:r w:rsidR="0020401B" w:rsidRPr="0020401B">
        <w:t xml:space="preserve"> journey rather than being located within busy shopping precincts</w:t>
      </w:r>
      <w:r>
        <w:t>;</w:t>
      </w:r>
    </w:p>
    <w:p w14:paraId="63594049" w14:textId="369AD6C1" w:rsidR="0020401B" w:rsidRPr="0020401B" w:rsidRDefault="00B9491D" w:rsidP="00565DE7">
      <w:pPr>
        <w:numPr>
          <w:ilvl w:val="0"/>
          <w:numId w:val="2"/>
        </w:numPr>
        <w:spacing w:after="60"/>
        <w:jc w:val="both"/>
      </w:pPr>
      <w:r>
        <w:t>r</w:t>
      </w:r>
      <w:r w:rsidR="0020401B" w:rsidRPr="0020401B">
        <w:t xml:space="preserve">educed </w:t>
      </w:r>
      <w:r w:rsidR="00DB6807">
        <w:t>gambling</w:t>
      </w:r>
      <w:r w:rsidR="0020401B" w:rsidRPr="0020401B">
        <w:t>-room operating hours, including extended daily closures</w:t>
      </w:r>
      <w:r>
        <w:t>;</w:t>
      </w:r>
    </w:p>
    <w:p w14:paraId="72042F25" w14:textId="0711EEF8" w:rsidR="0020401B" w:rsidRPr="0020401B" w:rsidRDefault="00B9491D" w:rsidP="00565DE7">
      <w:pPr>
        <w:numPr>
          <w:ilvl w:val="0"/>
          <w:numId w:val="2"/>
        </w:numPr>
        <w:spacing w:after="60"/>
        <w:jc w:val="both"/>
      </w:pPr>
      <w:r>
        <w:t>s</w:t>
      </w:r>
      <w:r w:rsidR="0020401B" w:rsidRPr="0020401B">
        <w:t xml:space="preserve">mall or medium-sized </w:t>
      </w:r>
      <w:r w:rsidR="00DB6807">
        <w:t>gambling</w:t>
      </w:r>
      <w:r w:rsidR="0020401B" w:rsidRPr="0020401B">
        <w:t xml:space="preserve"> areas, generally containing fewer than 50 EGMs</w:t>
      </w:r>
      <w:r>
        <w:t>;</w:t>
      </w:r>
    </w:p>
    <w:p w14:paraId="25919D99" w14:textId="5842D04D" w:rsidR="0020401B" w:rsidRPr="0020401B" w:rsidRDefault="00B9491D" w:rsidP="00565DE7">
      <w:pPr>
        <w:numPr>
          <w:ilvl w:val="0"/>
          <w:numId w:val="2"/>
        </w:numPr>
        <w:spacing w:after="60"/>
        <w:jc w:val="both"/>
      </w:pPr>
      <w:r>
        <w:t>s</w:t>
      </w:r>
      <w:r w:rsidR="0020401B" w:rsidRPr="0020401B">
        <w:t>trong local connections that reduce patrons' sense of anonymity</w:t>
      </w:r>
      <w:r>
        <w:t>;</w:t>
      </w:r>
    </w:p>
    <w:p w14:paraId="5E57B37F" w14:textId="61F8C1A5" w:rsidR="0020401B" w:rsidRPr="0020401B" w:rsidRDefault="00B9491D" w:rsidP="00565DE7">
      <w:pPr>
        <w:numPr>
          <w:ilvl w:val="0"/>
          <w:numId w:val="2"/>
        </w:numPr>
        <w:spacing w:after="60"/>
        <w:jc w:val="both"/>
      </w:pPr>
      <w:r>
        <w:t>a</w:t>
      </w:r>
      <w:r w:rsidR="0020401B" w:rsidRPr="0020401B">
        <w:t>dequate staffing levels, supervision and intervention practices</w:t>
      </w:r>
      <w:r>
        <w:t>;</w:t>
      </w:r>
    </w:p>
    <w:p w14:paraId="658E02D3" w14:textId="2243C2B8" w:rsidR="0020401B" w:rsidRPr="0020401B" w:rsidRDefault="00B9491D" w:rsidP="00565DE7">
      <w:pPr>
        <w:numPr>
          <w:ilvl w:val="0"/>
          <w:numId w:val="2"/>
        </w:numPr>
        <w:spacing w:after="60"/>
        <w:jc w:val="both"/>
      </w:pPr>
      <w:r>
        <w:t>s</w:t>
      </w:r>
      <w:r w:rsidR="0020401B" w:rsidRPr="0020401B">
        <w:t>taff familiarity with patrons and responsiveness to signs of distress</w:t>
      </w:r>
      <w:r>
        <w:t>;</w:t>
      </w:r>
    </w:p>
    <w:p w14:paraId="140F43E1" w14:textId="27CBD6D1" w:rsidR="0020401B" w:rsidRPr="0020401B" w:rsidRDefault="00B9491D" w:rsidP="00565DE7">
      <w:pPr>
        <w:numPr>
          <w:ilvl w:val="0"/>
          <w:numId w:val="2"/>
        </w:numPr>
        <w:spacing w:after="60"/>
        <w:jc w:val="both"/>
      </w:pPr>
      <w:r>
        <w:t>n</w:t>
      </w:r>
      <w:r w:rsidR="0020401B" w:rsidRPr="0020401B">
        <w:t>on-</w:t>
      </w:r>
      <w:r w:rsidR="00DB6807">
        <w:t>gambling</w:t>
      </w:r>
      <w:r w:rsidR="0020401B" w:rsidRPr="0020401B">
        <w:t xml:space="preserve"> entertainment options available during </w:t>
      </w:r>
      <w:r w:rsidR="00DB6807">
        <w:t>gambling</w:t>
      </w:r>
      <w:r w:rsidR="0020401B" w:rsidRPr="0020401B">
        <w:t>-room operating hours</w:t>
      </w:r>
      <w:r>
        <w:t>;</w:t>
      </w:r>
    </w:p>
    <w:p w14:paraId="28ABBF72" w14:textId="607BDFEE" w:rsidR="0020401B" w:rsidRPr="0020401B" w:rsidRDefault="00B9491D" w:rsidP="00565DE7">
      <w:pPr>
        <w:numPr>
          <w:ilvl w:val="0"/>
          <w:numId w:val="2"/>
        </w:numPr>
        <w:spacing w:after="60"/>
        <w:jc w:val="both"/>
      </w:pPr>
      <w:r>
        <w:t>t</w:t>
      </w:r>
      <w:r w:rsidR="0020401B" w:rsidRPr="0020401B">
        <w:t>he availability of food and beverages that encourage patrons to take breaks from gambling</w:t>
      </w:r>
      <w:r>
        <w:t>;</w:t>
      </w:r>
    </w:p>
    <w:p w14:paraId="5FDC2E70" w14:textId="14CDCEAF" w:rsidR="0020401B" w:rsidRPr="0020401B" w:rsidRDefault="00B9491D" w:rsidP="00565DE7">
      <w:pPr>
        <w:numPr>
          <w:ilvl w:val="0"/>
          <w:numId w:val="2"/>
        </w:numPr>
        <w:spacing w:after="60"/>
        <w:jc w:val="both"/>
      </w:pPr>
      <w:r>
        <w:t>a</w:t>
      </w:r>
      <w:r w:rsidR="0020401B" w:rsidRPr="0020401B">
        <w:t xml:space="preserve"> relatively small number of EGMs</w:t>
      </w:r>
      <w:r>
        <w:t>; and</w:t>
      </w:r>
    </w:p>
    <w:p w14:paraId="1CEE571B" w14:textId="33D7FD4F" w:rsidR="0020401B" w:rsidRPr="0020401B" w:rsidRDefault="00B9491D" w:rsidP="002C1C04">
      <w:pPr>
        <w:numPr>
          <w:ilvl w:val="0"/>
          <w:numId w:val="2"/>
        </w:numPr>
        <w:spacing w:after="20"/>
        <w:jc w:val="both"/>
      </w:pPr>
      <w:r>
        <w:t>t</w:t>
      </w:r>
      <w:r w:rsidR="0020401B" w:rsidRPr="0020401B">
        <w:t>he limited scale of the application itself.</w:t>
      </w:r>
    </w:p>
    <w:p w14:paraId="74C69773" w14:textId="2F9084ED" w:rsidR="002C1C04" w:rsidRDefault="002C1C04" w:rsidP="00565DE7">
      <w:pPr>
        <w:spacing w:before="80" w:after="100"/>
        <w:jc w:val="both"/>
      </w:pPr>
      <w:r w:rsidRPr="00565DE7">
        <w:t>In earlier decisions though, the Commission has conceded that harm minimization measures may only partially reduce the risk of gambling-related problems. In one instance,</w:t>
      </w:r>
      <w:r w:rsidR="00D80909">
        <w:t xml:space="preserve"> it</w:t>
      </w:r>
      <w:r w:rsidRPr="00565DE7">
        <w:t xml:space="preserve"> acknowledged the testimony of a witness who observed that RSG procedures do not prevent gambling harm, as this has persisted despite RSG being implemented for many years. (</w:t>
      </w:r>
      <w:r w:rsidRPr="00565DE7">
        <w:rPr>
          <w:i/>
          <w:iCs/>
        </w:rPr>
        <w:t>Cardinia, Officer Hotel, 2018</w:t>
      </w:r>
      <w:r w:rsidRPr="00565DE7">
        <w:t>). In another, it submitted that failure to produce an independent testimony about the quality of responsible gambling practices at the venue cast doubt upon their efficacy.</w:t>
      </w:r>
    </w:p>
    <w:p w14:paraId="04D2DDF4" w14:textId="4710502C" w:rsidR="0020401B" w:rsidRPr="002C1C04" w:rsidRDefault="0020401B" w:rsidP="002C1C04">
      <w:pPr>
        <w:spacing w:before="120" w:after="60"/>
        <w:jc w:val="both"/>
        <w:rPr>
          <w:b/>
          <w:bCs/>
          <w:color w:val="153D63" w:themeColor="text2" w:themeTint="E6"/>
        </w:rPr>
      </w:pPr>
      <w:r w:rsidRPr="002C1C04">
        <w:rPr>
          <w:b/>
          <w:bCs/>
          <w:color w:val="153D63" w:themeColor="text2" w:themeTint="E6"/>
        </w:rPr>
        <w:t>The Volume of Existing Gambling Opportunities</w:t>
      </w:r>
    </w:p>
    <w:p w14:paraId="28997A89" w14:textId="77777777" w:rsidR="0020401B" w:rsidRPr="0020401B" w:rsidRDefault="0020401B" w:rsidP="00AF3608">
      <w:pPr>
        <w:spacing w:after="100"/>
        <w:jc w:val="both"/>
      </w:pPr>
      <w:r w:rsidRPr="0020401B">
        <w:t>The Commission may regard the impact of a new venue or additional EGMs as less significant where:</w:t>
      </w:r>
    </w:p>
    <w:p w14:paraId="22FEA9A5" w14:textId="6E16DC15" w:rsidR="0020401B" w:rsidRPr="0020401B" w:rsidRDefault="00B9491D" w:rsidP="00565DE7">
      <w:pPr>
        <w:numPr>
          <w:ilvl w:val="0"/>
          <w:numId w:val="3"/>
        </w:numPr>
        <w:spacing w:after="60"/>
        <w:jc w:val="both"/>
      </w:pPr>
      <w:r>
        <w:t>t</w:t>
      </w:r>
      <w:r w:rsidR="0020401B" w:rsidRPr="0020401B">
        <w:t xml:space="preserve">here are already several </w:t>
      </w:r>
      <w:r w:rsidR="00DB6807">
        <w:t>gambling</w:t>
      </w:r>
      <w:r w:rsidR="0020401B" w:rsidRPr="0020401B">
        <w:t xml:space="preserve"> venues in the municipality</w:t>
      </w:r>
      <w:r>
        <w:t>;</w:t>
      </w:r>
    </w:p>
    <w:p w14:paraId="1EBEEA8C" w14:textId="6CA38959" w:rsidR="0020401B" w:rsidRPr="0020401B" w:rsidRDefault="00B9491D" w:rsidP="00565DE7">
      <w:pPr>
        <w:numPr>
          <w:ilvl w:val="0"/>
          <w:numId w:val="3"/>
        </w:numPr>
        <w:spacing w:after="60"/>
        <w:jc w:val="both"/>
      </w:pPr>
      <w:r>
        <w:t>t</w:t>
      </w:r>
      <w:r w:rsidR="0020401B" w:rsidRPr="0020401B">
        <w:t>he venue already contains a substantial number of EGMs</w:t>
      </w:r>
      <w:r>
        <w:t>; or</w:t>
      </w:r>
    </w:p>
    <w:p w14:paraId="1D38BAE7" w14:textId="1A055F7C" w:rsidR="0020401B" w:rsidRPr="0020401B" w:rsidRDefault="00B9491D" w:rsidP="0020401B">
      <w:pPr>
        <w:numPr>
          <w:ilvl w:val="0"/>
          <w:numId w:val="3"/>
        </w:numPr>
        <w:jc w:val="both"/>
      </w:pPr>
      <w:r>
        <w:t>e</w:t>
      </w:r>
      <w:r w:rsidR="0020401B" w:rsidRPr="0020401B">
        <w:t>xisting EGM utilisation levels are low.</w:t>
      </w:r>
    </w:p>
    <w:p w14:paraId="2466F2AE" w14:textId="44FBE2C5" w:rsidR="0020401B" w:rsidRPr="0020401B" w:rsidRDefault="0020401B" w:rsidP="00B9491D">
      <w:pPr>
        <w:spacing w:after="100"/>
        <w:jc w:val="both"/>
      </w:pPr>
      <w:r w:rsidRPr="0020401B">
        <w:lastRenderedPageBreak/>
        <w:t xml:space="preserve">Conversely, where a community currently has little or no access to </w:t>
      </w:r>
      <w:r w:rsidR="00DB6807">
        <w:t>gambling</w:t>
      </w:r>
      <w:r w:rsidRPr="0020401B">
        <w:t xml:space="preserve"> venues, the Commission may conclude that increased accessibility to gambling could </w:t>
      </w:r>
      <w:r w:rsidR="002C1C04">
        <w:t>exacerbate gambling</w:t>
      </w:r>
      <w:r w:rsidRPr="0020401B">
        <w:t xml:space="preserve"> harm. This reasoning was influential in the refusal of the </w:t>
      </w:r>
      <w:r w:rsidRPr="0020401B">
        <w:rPr>
          <w:i/>
          <w:iCs/>
        </w:rPr>
        <w:t>Romsey Community Hotel</w:t>
      </w:r>
      <w:r w:rsidRPr="0020401B">
        <w:t xml:space="preserve"> application in 2024, where the Commission emphasised that approval would expose </w:t>
      </w:r>
      <w:proofErr w:type="gramStart"/>
      <w:r w:rsidRPr="0020401B">
        <w:t>local residents</w:t>
      </w:r>
      <w:proofErr w:type="gramEnd"/>
      <w:r w:rsidRPr="0020401B">
        <w:t xml:space="preserve"> to EGMs in a way they had not previously experienced.</w:t>
      </w:r>
    </w:p>
    <w:p w14:paraId="1C78D0FC" w14:textId="401F1140" w:rsidR="0020401B" w:rsidRPr="0020401B" w:rsidRDefault="0020401B" w:rsidP="0020401B">
      <w:pPr>
        <w:jc w:val="both"/>
      </w:pPr>
      <w:r w:rsidRPr="0020401B">
        <w:t>However, circumstances of this nature are uncommon among gam</w:t>
      </w:r>
      <w:r w:rsidR="00D80909">
        <w:t>bl</w:t>
      </w:r>
      <w:r w:rsidRPr="0020401B">
        <w:t>ing applications.</w:t>
      </w:r>
    </w:p>
    <w:p w14:paraId="61F609DE" w14:textId="3E07455F" w:rsidR="0020401B" w:rsidRPr="0020401B" w:rsidRDefault="0020401B" w:rsidP="00565DE7">
      <w:pPr>
        <w:spacing w:before="240" w:after="80"/>
        <w:jc w:val="both"/>
        <w:rPr>
          <w:rFonts w:ascii="Garamond" w:hAnsi="Garamond"/>
          <w:b/>
          <w:bCs/>
          <w:color w:val="153D63" w:themeColor="text2" w:themeTint="E6"/>
          <w:sz w:val="32"/>
          <w:szCs w:val="32"/>
        </w:rPr>
      </w:pPr>
      <w:r w:rsidRPr="0020401B">
        <w:rPr>
          <w:rFonts w:ascii="Garamond" w:hAnsi="Garamond"/>
          <w:b/>
          <w:bCs/>
          <w:color w:val="153D63" w:themeColor="text2" w:themeTint="E6"/>
          <w:sz w:val="32"/>
          <w:szCs w:val="32"/>
        </w:rPr>
        <w:t>Economic Impacts of Applications</w:t>
      </w:r>
    </w:p>
    <w:p w14:paraId="36E57DF0" w14:textId="02810DB7" w:rsidR="0020401B" w:rsidRPr="002C1C04" w:rsidRDefault="0020401B" w:rsidP="002C1C04">
      <w:pPr>
        <w:spacing w:before="120" w:after="60"/>
        <w:jc w:val="both"/>
        <w:rPr>
          <w:b/>
          <w:bCs/>
          <w:color w:val="153D63" w:themeColor="text2" w:themeTint="E6"/>
        </w:rPr>
      </w:pPr>
      <w:r w:rsidRPr="002C1C04">
        <w:rPr>
          <w:b/>
          <w:bCs/>
          <w:color w:val="153D63" w:themeColor="text2" w:themeTint="E6"/>
        </w:rPr>
        <w:t xml:space="preserve">Economic Impacts and New </w:t>
      </w:r>
      <w:r w:rsidR="00DB6807">
        <w:rPr>
          <w:b/>
          <w:bCs/>
          <w:color w:val="153D63" w:themeColor="text2" w:themeTint="E6"/>
        </w:rPr>
        <w:t>Gambling</w:t>
      </w:r>
      <w:r w:rsidRPr="002C1C04">
        <w:rPr>
          <w:b/>
          <w:bCs/>
          <w:color w:val="153D63" w:themeColor="text2" w:themeTint="E6"/>
        </w:rPr>
        <w:t xml:space="preserve"> Expenditure</w:t>
      </w:r>
    </w:p>
    <w:p w14:paraId="2A715A05" w14:textId="77777777" w:rsidR="002C1C04" w:rsidRPr="005C6868" w:rsidRDefault="002C1C04" w:rsidP="002C1C04">
      <w:pPr>
        <w:spacing w:after="0" w:line="288" w:lineRule="auto"/>
        <w:jc w:val="both"/>
        <w:rPr>
          <w:lang w:val="en-US"/>
        </w:rPr>
      </w:pPr>
      <w:r w:rsidRPr="005C6868">
        <w:rPr>
          <w:lang w:val="en-US"/>
        </w:rPr>
        <w:t>Any forecast rise in patronage of a venue for gambling, food, beverages or other services</w:t>
      </w:r>
      <w:r>
        <w:rPr>
          <w:lang w:val="en-US"/>
        </w:rPr>
        <w:t xml:space="preserve"> associated with the prospective addition of EGMs</w:t>
      </w:r>
      <w:r w:rsidRPr="005C6868">
        <w:rPr>
          <w:lang w:val="en-US"/>
        </w:rPr>
        <w:t xml:space="preserve">, is given more weight if there is reason to suppose that the expenditure will be diverted from </w:t>
      </w:r>
      <w:r>
        <w:rPr>
          <w:lang w:val="en-US"/>
        </w:rPr>
        <w:t xml:space="preserve">venues and other </w:t>
      </w:r>
      <w:r w:rsidRPr="005C6868">
        <w:rPr>
          <w:lang w:val="en-US"/>
        </w:rPr>
        <w:t xml:space="preserve">businesses situated </w:t>
      </w:r>
      <w:r w:rsidRPr="00A85B25">
        <w:rPr>
          <w:i/>
          <w:iCs/>
          <w:lang w:val="en-US"/>
        </w:rPr>
        <w:t>outside</w:t>
      </w:r>
      <w:r w:rsidRPr="005C6868">
        <w:rPr>
          <w:lang w:val="en-US"/>
        </w:rPr>
        <w:t xml:space="preserve"> the municipality, thereby conferring </w:t>
      </w:r>
      <w:r>
        <w:rPr>
          <w:lang w:val="en-US"/>
        </w:rPr>
        <w:t>a local</w:t>
      </w:r>
      <w:r w:rsidRPr="005C6868">
        <w:rPr>
          <w:lang w:val="en-US"/>
        </w:rPr>
        <w:t xml:space="preserve"> economic benefit. </w:t>
      </w:r>
      <w:r>
        <w:rPr>
          <w:lang w:val="en-US"/>
        </w:rPr>
        <w:t>However</w:t>
      </w:r>
      <w:r w:rsidRPr="005C6868">
        <w:rPr>
          <w:lang w:val="en-US"/>
        </w:rPr>
        <w:t xml:space="preserve">, if it appears that much of the patronage will be merely transferred from businesses </w:t>
      </w:r>
      <w:r>
        <w:rPr>
          <w:lang w:val="en-US"/>
        </w:rPr>
        <w:t>with</w:t>
      </w:r>
      <w:r w:rsidRPr="005C6868">
        <w:rPr>
          <w:lang w:val="en-US"/>
        </w:rPr>
        <w:t xml:space="preserve">in the municipality, </w:t>
      </w:r>
      <w:r>
        <w:rPr>
          <w:lang w:val="en-US"/>
        </w:rPr>
        <w:t>such benefits may be discounted</w:t>
      </w:r>
      <w:r w:rsidRPr="005C6868">
        <w:rPr>
          <w:lang w:val="en-US"/>
        </w:rPr>
        <w:t>.</w:t>
      </w:r>
    </w:p>
    <w:p w14:paraId="06A36C9F" w14:textId="18554B64" w:rsidR="0020401B" w:rsidRPr="002C1C04" w:rsidRDefault="0020401B" w:rsidP="002C1C04">
      <w:pPr>
        <w:spacing w:before="120" w:after="60"/>
        <w:jc w:val="both"/>
        <w:rPr>
          <w:b/>
          <w:bCs/>
          <w:color w:val="153D63" w:themeColor="text2" w:themeTint="E6"/>
        </w:rPr>
      </w:pPr>
      <w:r w:rsidRPr="002C1C04">
        <w:rPr>
          <w:b/>
          <w:bCs/>
          <w:color w:val="153D63" w:themeColor="text2" w:themeTint="E6"/>
        </w:rPr>
        <w:t>Employment</w:t>
      </w:r>
    </w:p>
    <w:p w14:paraId="7ECFD01F" w14:textId="77777777" w:rsidR="002C1C04" w:rsidRPr="00565DE7" w:rsidRDefault="002C1C04" w:rsidP="00565DE7">
      <w:pPr>
        <w:spacing w:after="100"/>
        <w:jc w:val="both"/>
      </w:pPr>
      <w:r w:rsidRPr="00565DE7">
        <w:t xml:space="preserve">An increase in employment at a venue is credited as a benefit, where the applicant confirms that it has a practice of hiring local staff and firms, pledges to make an effort to do so, or is likely to do so anyway owing to the geographic isolation of the municipality. </w:t>
      </w:r>
    </w:p>
    <w:p w14:paraId="5472F9DB" w14:textId="6464D9E3" w:rsidR="002C1C04" w:rsidRPr="00565DE7" w:rsidRDefault="002C1C04" w:rsidP="00565DE7">
      <w:pPr>
        <w:spacing w:after="100"/>
        <w:jc w:val="both"/>
      </w:pPr>
      <w:r w:rsidRPr="00565DE7">
        <w:t xml:space="preserve">On the other hand, the Commission may ascribe less weight to the prospect of more jobs within the municipality, </w:t>
      </w:r>
      <w:r w:rsidR="00D80909">
        <w:t>where</w:t>
      </w:r>
      <w:r w:rsidRPr="00565DE7">
        <w:t>:</w:t>
      </w:r>
    </w:p>
    <w:p w14:paraId="6C9D45F9" w14:textId="60982A20" w:rsidR="0020401B" w:rsidRPr="0020401B" w:rsidRDefault="00B9491D" w:rsidP="00565DE7">
      <w:pPr>
        <w:numPr>
          <w:ilvl w:val="0"/>
          <w:numId w:val="4"/>
        </w:numPr>
        <w:spacing w:after="60"/>
        <w:jc w:val="both"/>
      </w:pPr>
      <w:r>
        <w:t>t</w:t>
      </w:r>
      <w:r w:rsidR="0020401B" w:rsidRPr="0020401B">
        <w:t>he number of new jobs is small relative to total municipal employment</w:t>
      </w:r>
      <w:r>
        <w:t>;</w:t>
      </w:r>
    </w:p>
    <w:p w14:paraId="68925B83" w14:textId="135293F9" w:rsidR="0020401B" w:rsidRPr="0020401B" w:rsidRDefault="00B9491D" w:rsidP="00565DE7">
      <w:pPr>
        <w:numPr>
          <w:ilvl w:val="0"/>
          <w:numId w:val="4"/>
        </w:numPr>
        <w:spacing w:after="60"/>
        <w:jc w:val="both"/>
      </w:pPr>
      <w:r>
        <w:t>l</w:t>
      </w:r>
      <w:r w:rsidR="0020401B" w:rsidRPr="0020401B">
        <w:t>ocal unemployment levels are already low</w:t>
      </w:r>
      <w:r>
        <w:t>;</w:t>
      </w:r>
    </w:p>
    <w:p w14:paraId="51CDACBF" w14:textId="3C3AB5AE" w:rsidR="0020401B" w:rsidRPr="0020401B" w:rsidRDefault="00B9491D" w:rsidP="00565DE7">
      <w:pPr>
        <w:numPr>
          <w:ilvl w:val="0"/>
          <w:numId w:val="4"/>
        </w:numPr>
        <w:spacing w:after="60"/>
        <w:jc w:val="both"/>
      </w:pPr>
      <w:r>
        <w:t>h</w:t>
      </w:r>
      <w:r w:rsidR="0020401B" w:rsidRPr="0020401B">
        <w:t>ospitality employment opportunities are already plentiful</w:t>
      </w:r>
      <w:r>
        <w:t>;</w:t>
      </w:r>
    </w:p>
    <w:p w14:paraId="5A68F466" w14:textId="4328A411" w:rsidR="0020401B" w:rsidRPr="0020401B" w:rsidRDefault="00B9491D" w:rsidP="00565DE7">
      <w:pPr>
        <w:numPr>
          <w:ilvl w:val="0"/>
          <w:numId w:val="4"/>
        </w:numPr>
        <w:spacing w:after="60"/>
        <w:jc w:val="both"/>
      </w:pPr>
      <w:r>
        <w:t>a</w:t>
      </w:r>
      <w:r w:rsidR="0020401B" w:rsidRPr="0020401B">
        <w:t>dditional staff are likely to be drawn from existing local employers</w:t>
      </w:r>
      <w:r>
        <w:t>; and</w:t>
      </w:r>
    </w:p>
    <w:p w14:paraId="0774E52B" w14:textId="61FA2272" w:rsidR="0020401B" w:rsidRPr="0020401B" w:rsidRDefault="00B9491D" w:rsidP="0020401B">
      <w:pPr>
        <w:numPr>
          <w:ilvl w:val="0"/>
          <w:numId w:val="4"/>
        </w:numPr>
        <w:jc w:val="both"/>
      </w:pPr>
      <w:r>
        <w:t>t</w:t>
      </w:r>
      <w:r w:rsidR="0020401B" w:rsidRPr="0020401B">
        <w:t xml:space="preserve">here is no </w:t>
      </w:r>
      <w:proofErr w:type="gramStart"/>
      <w:r w:rsidR="0020401B" w:rsidRPr="0020401B">
        <w:t>particular reason</w:t>
      </w:r>
      <w:proofErr w:type="gramEnd"/>
      <w:r w:rsidR="0020401B" w:rsidRPr="0020401B">
        <w:t xml:space="preserve"> to believe that the new employees will be </w:t>
      </w:r>
      <w:proofErr w:type="gramStart"/>
      <w:r w:rsidR="0020401B" w:rsidRPr="0020401B">
        <w:t>local residents</w:t>
      </w:r>
      <w:proofErr w:type="gramEnd"/>
      <w:r w:rsidR="0020401B" w:rsidRPr="0020401B">
        <w:t>.</w:t>
      </w:r>
    </w:p>
    <w:p w14:paraId="2A885C9E"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t>Capital Works</w:t>
      </w:r>
    </w:p>
    <w:p w14:paraId="4C55E381" w14:textId="77777777" w:rsidR="0020401B" w:rsidRPr="0020401B" w:rsidRDefault="0020401B" w:rsidP="00F31C60">
      <w:pPr>
        <w:spacing w:after="100"/>
        <w:jc w:val="both"/>
      </w:pPr>
      <w:r w:rsidRPr="0020401B">
        <w:t>Planned capital works are generally regarded as a benefit where:</w:t>
      </w:r>
    </w:p>
    <w:p w14:paraId="160597FE" w14:textId="583D4123" w:rsidR="0020401B" w:rsidRPr="0020401B" w:rsidRDefault="00B9491D" w:rsidP="00565DE7">
      <w:pPr>
        <w:numPr>
          <w:ilvl w:val="0"/>
          <w:numId w:val="5"/>
        </w:numPr>
        <w:spacing w:after="60"/>
        <w:jc w:val="both"/>
      </w:pPr>
      <w:r>
        <w:t>t</w:t>
      </w:r>
      <w:r w:rsidR="0020401B" w:rsidRPr="0020401B">
        <w:t>he works are contingent upon approval of the application</w:t>
      </w:r>
      <w:r>
        <w:t>;</w:t>
      </w:r>
    </w:p>
    <w:p w14:paraId="6FA4B3BA" w14:textId="6D4267C8" w:rsidR="0020401B" w:rsidRPr="0020401B" w:rsidRDefault="00B9491D" w:rsidP="00565DE7">
      <w:pPr>
        <w:numPr>
          <w:ilvl w:val="0"/>
          <w:numId w:val="5"/>
        </w:numPr>
        <w:spacing w:after="60"/>
        <w:jc w:val="both"/>
      </w:pPr>
      <w:r>
        <w:t>t</w:t>
      </w:r>
      <w:r w:rsidR="0020401B" w:rsidRPr="0020401B">
        <w:t>he applicant provides evidence that financing depends on approval</w:t>
      </w:r>
      <w:r>
        <w:t>; and</w:t>
      </w:r>
    </w:p>
    <w:p w14:paraId="1C8FD937" w14:textId="1DBE8C87" w:rsidR="0020401B" w:rsidRPr="0020401B" w:rsidRDefault="00B9491D" w:rsidP="0020401B">
      <w:pPr>
        <w:numPr>
          <w:ilvl w:val="0"/>
          <w:numId w:val="5"/>
        </w:numPr>
        <w:jc w:val="both"/>
      </w:pPr>
      <w:r>
        <w:t>l</w:t>
      </w:r>
      <w:r w:rsidR="0020401B" w:rsidRPr="0020401B">
        <w:t>ocal contractors are likely to undertake the works.</w:t>
      </w:r>
    </w:p>
    <w:p w14:paraId="558CC329" w14:textId="77777777" w:rsidR="0020401B" w:rsidRPr="0020401B" w:rsidRDefault="0020401B" w:rsidP="002C1C04">
      <w:pPr>
        <w:spacing w:after="20"/>
        <w:jc w:val="both"/>
      </w:pPr>
      <w:r w:rsidRPr="0020401B">
        <w:t>The Commission may give less weight to capital works where:</w:t>
      </w:r>
    </w:p>
    <w:p w14:paraId="1427CDDE" w14:textId="3C258903" w:rsidR="0020401B" w:rsidRPr="0020401B" w:rsidRDefault="00B9491D" w:rsidP="00565DE7">
      <w:pPr>
        <w:numPr>
          <w:ilvl w:val="0"/>
          <w:numId w:val="6"/>
        </w:numPr>
        <w:spacing w:after="60"/>
        <w:jc w:val="both"/>
      </w:pPr>
      <w:r>
        <w:t>t</w:t>
      </w:r>
      <w:r w:rsidR="0020401B" w:rsidRPr="0020401B">
        <w:t>here is no commitment to engage local contractors</w:t>
      </w:r>
      <w:r>
        <w:t>;</w:t>
      </w:r>
    </w:p>
    <w:p w14:paraId="56118C8C" w14:textId="0F0D2796" w:rsidR="0020401B" w:rsidRPr="0020401B" w:rsidRDefault="00B9491D" w:rsidP="00565DE7">
      <w:pPr>
        <w:numPr>
          <w:ilvl w:val="0"/>
          <w:numId w:val="6"/>
        </w:numPr>
        <w:spacing w:after="60"/>
        <w:jc w:val="both"/>
      </w:pPr>
      <w:r>
        <w:t>t</w:t>
      </w:r>
      <w:r w:rsidR="0020401B" w:rsidRPr="0020401B">
        <w:t>he scale or duration of the works is modest</w:t>
      </w:r>
      <w:r>
        <w:t>;</w:t>
      </w:r>
    </w:p>
    <w:p w14:paraId="7A49BAF6" w14:textId="3E36B8AC" w:rsidR="0020401B" w:rsidRPr="0020401B" w:rsidRDefault="00B9491D" w:rsidP="0020401B">
      <w:pPr>
        <w:numPr>
          <w:ilvl w:val="0"/>
          <w:numId w:val="6"/>
        </w:numPr>
        <w:jc w:val="both"/>
      </w:pPr>
      <w:r>
        <w:t>l</w:t>
      </w:r>
      <w:r w:rsidR="0020401B" w:rsidRPr="0020401B">
        <w:t>ocal labour shortages mean that contractors would simply be diverted from other projects.</w:t>
      </w:r>
    </w:p>
    <w:p w14:paraId="799662FA" w14:textId="56EEA7F0" w:rsidR="0020401B" w:rsidRPr="002C1C04" w:rsidRDefault="0020401B" w:rsidP="002C1C04">
      <w:pPr>
        <w:spacing w:before="120" w:after="60"/>
        <w:jc w:val="both"/>
        <w:rPr>
          <w:b/>
          <w:bCs/>
          <w:color w:val="153D63" w:themeColor="text2" w:themeTint="E6"/>
        </w:rPr>
      </w:pPr>
      <w:r w:rsidRPr="002C1C04">
        <w:rPr>
          <w:b/>
          <w:bCs/>
          <w:color w:val="153D63" w:themeColor="text2" w:themeTint="E6"/>
        </w:rPr>
        <w:t>Expenditure on Food, Beverages and Entertainment</w:t>
      </w:r>
    </w:p>
    <w:p w14:paraId="19601B84" w14:textId="5CCF91BF" w:rsidR="0020401B" w:rsidRPr="0020401B" w:rsidRDefault="0020401B" w:rsidP="009B04D8">
      <w:pPr>
        <w:spacing w:after="100"/>
        <w:jc w:val="both"/>
      </w:pPr>
      <w:r w:rsidRPr="0020401B">
        <w:t>Increased spending on non-</w:t>
      </w:r>
      <w:r w:rsidR="00DB6807">
        <w:t>gambling</w:t>
      </w:r>
      <w:r w:rsidRPr="0020401B">
        <w:t xml:space="preserve"> services, including meals, beverages and entertainment, is generally viewed favourably where it represents new expenditure entering the municipality.</w:t>
      </w:r>
    </w:p>
    <w:p w14:paraId="170C52D3" w14:textId="77777777" w:rsidR="0020401B" w:rsidRPr="0020401B" w:rsidRDefault="0020401B" w:rsidP="00AF3608">
      <w:pPr>
        <w:spacing w:after="100"/>
        <w:jc w:val="both"/>
      </w:pPr>
      <w:r w:rsidRPr="0020401B">
        <w:t>Less weight is accorded to this benefit where:</w:t>
      </w:r>
    </w:p>
    <w:p w14:paraId="4ED22126" w14:textId="66B43301" w:rsidR="0020401B" w:rsidRPr="0020401B" w:rsidRDefault="00B9491D" w:rsidP="00565DE7">
      <w:pPr>
        <w:numPr>
          <w:ilvl w:val="0"/>
          <w:numId w:val="7"/>
        </w:numPr>
        <w:spacing w:after="60"/>
        <w:jc w:val="both"/>
      </w:pPr>
      <w:r>
        <w:t>e</w:t>
      </w:r>
      <w:r w:rsidR="0020401B" w:rsidRPr="0020401B">
        <w:t>xpenditure is likely to be diverted from existing local businesses</w:t>
      </w:r>
      <w:r>
        <w:t>;</w:t>
      </w:r>
    </w:p>
    <w:p w14:paraId="6E4E86FE" w14:textId="24B49036" w:rsidR="0020401B" w:rsidRDefault="00B9491D" w:rsidP="0020401B">
      <w:pPr>
        <w:numPr>
          <w:ilvl w:val="0"/>
          <w:numId w:val="7"/>
        </w:numPr>
        <w:jc w:val="both"/>
      </w:pPr>
      <w:r>
        <w:t>t</w:t>
      </w:r>
      <w:r w:rsidR="0020401B" w:rsidRPr="0020401B">
        <w:t xml:space="preserve">he projected </w:t>
      </w:r>
      <w:r w:rsidR="00D80909">
        <w:t>rise</w:t>
      </w:r>
      <w:r w:rsidR="0020401B" w:rsidRPr="0020401B">
        <w:t xml:space="preserve"> in expenditure is small compared with the broader municipal economy.</w:t>
      </w:r>
    </w:p>
    <w:p w14:paraId="1D69D91E" w14:textId="77777777" w:rsidR="00D80909" w:rsidRPr="0020401B" w:rsidRDefault="00D80909" w:rsidP="00D80909">
      <w:pPr>
        <w:jc w:val="both"/>
      </w:pPr>
    </w:p>
    <w:p w14:paraId="559DB675" w14:textId="77777777" w:rsidR="0020401B" w:rsidRPr="002C1C04" w:rsidRDefault="0020401B" w:rsidP="00D80909">
      <w:pPr>
        <w:spacing w:after="60"/>
        <w:jc w:val="both"/>
        <w:rPr>
          <w:b/>
          <w:bCs/>
          <w:color w:val="153D63" w:themeColor="text2" w:themeTint="E6"/>
        </w:rPr>
      </w:pPr>
      <w:r w:rsidRPr="002C1C04">
        <w:rPr>
          <w:b/>
          <w:bCs/>
          <w:color w:val="153D63" w:themeColor="text2" w:themeTint="E6"/>
        </w:rPr>
        <w:lastRenderedPageBreak/>
        <w:t>Maintenance and Supply Contracts</w:t>
      </w:r>
    </w:p>
    <w:p w14:paraId="1E6D8DD5" w14:textId="77777777" w:rsidR="0020401B" w:rsidRPr="0020401B" w:rsidRDefault="0020401B" w:rsidP="00565DE7">
      <w:pPr>
        <w:spacing w:after="100"/>
        <w:jc w:val="both"/>
      </w:pPr>
      <w:r w:rsidRPr="0020401B">
        <w:t>Economic benefits may also arise from supply and maintenance contracts awarded to local firms. The Commission generally gives greater weight to this factor where the applicant commits to sourcing a significant proportion of goods and services locally.</w:t>
      </w:r>
    </w:p>
    <w:p w14:paraId="6BE6EA5C" w14:textId="5D19558A" w:rsidR="0020401B" w:rsidRPr="0020401B" w:rsidRDefault="0020401B" w:rsidP="00565DE7">
      <w:pPr>
        <w:spacing w:after="100"/>
        <w:jc w:val="both"/>
      </w:pPr>
      <w:r w:rsidRPr="0020401B">
        <w:t xml:space="preserve">Where no such commitment is provided, or where suitable contractors are unavailable within the municipality, limited weight </w:t>
      </w:r>
      <w:r w:rsidR="00D80909">
        <w:t>may be</w:t>
      </w:r>
      <w:r w:rsidRPr="0020401B">
        <w:t xml:space="preserve"> accorded to this benefit.</w:t>
      </w:r>
    </w:p>
    <w:p w14:paraId="14B9BE4A" w14:textId="77777777" w:rsidR="0020401B" w:rsidRPr="002C1C04" w:rsidRDefault="0020401B" w:rsidP="00D80909">
      <w:pPr>
        <w:spacing w:after="60"/>
        <w:jc w:val="both"/>
        <w:rPr>
          <w:b/>
          <w:bCs/>
          <w:color w:val="153D63" w:themeColor="text2" w:themeTint="E6"/>
        </w:rPr>
      </w:pPr>
      <w:r w:rsidRPr="002C1C04">
        <w:rPr>
          <w:b/>
          <w:bCs/>
          <w:color w:val="153D63" w:themeColor="text2" w:themeTint="E6"/>
        </w:rPr>
        <w:t>Competition with Existing Local Venues</w:t>
      </w:r>
    </w:p>
    <w:p w14:paraId="1B6C59DF" w14:textId="718BFDEA" w:rsidR="002C1C04" w:rsidRPr="00565DE7" w:rsidRDefault="002C1C04" w:rsidP="00565DE7">
      <w:pPr>
        <w:spacing w:after="100"/>
        <w:jc w:val="both"/>
      </w:pPr>
      <w:r w:rsidRPr="00565DE7">
        <w:t xml:space="preserve">The addition of a new venue or more EGMs may accentuate competition for patrons, which is regarded as an economic benefit to the municipality – particularly if the predicted level of </w:t>
      </w:r>
      <w:r w:rsidR="00DB6807">
        <w:t>gambling</w:t>
      </w:r>
      <w:r w:rsidRPr="00565DE7">
        <w:t xml:space="preserve"> expenditure transferred from other local venues is high, or if the quality of facilities to be developed at the venue is likely to attract patrons from other venues.</w:t>
      </w:r>
    </w:p>
    <w:p w14:paraId="26C0871F" w14:textId="77777777" w:rsidR="002C1C04" w:rsidRPr="00565DE7" w:rsidRDefault="002C1C04" w:rsidP="00D80909">
      <w:pPr>
        <w:spacing w:after="100"/>
        <w:jc w:val="both"/>
      </w:pPr>
      <w:r w:rsidRPr="00565DE7">
        <w:t>Conversely, the Commission holds that this benefit may be lessened if:</w:t>
      </w:r>
    </w:p>
    <w:p w14:paraId="430C7233" w14:textId="2A0313A1" w:rsidR="002C1C04" w:rsidRPr="007626A2" w:rsidRDefault="002C1C04" w:rsidP="00565DE7">
      <w:pPr>
        <w:pStyle w:val="ListParagraph"/>
        <w:numPr>
          <w:ilvl w:val="0"/>
          <w:numId w:val="17"/>
        </w:numPr>
        <w:spacing w:after="60" w:line="288" w:lineRule="auto"/>
        <w:jc w:val="both"/>
        <w:rPr>
          <w:lang w:val="en-US"/>
        </w:rPr>
      </w:pPr>
      <w:r w:rsidRPr="007626A2">
        <w:rPr>
          <w:lang w:val="en-US"/>
        </w:rPr>
        <w:t xml:space="preserve">utilization of EGMs at the venue is low (suggesting that </w:t>
      </w:r>
      <w:r>
        <w:rPr>
          <w:lang w:val="en-US"/>
        </w:rPr>
        <w:t>few people</w:t>
      </w:r>
      <w:r w:rsidRPr="007626A2">
        <w:rPr>
          <w:lang w:val="en-US"/>
        </w:rPr>
        <w:t xml:space="preserve"> wish to use its facilities)</w:t>
      </w:r>
      <w:r w:rsidR="00D80909">
        <w:rPr>
          <w:lang w:val="en-US"/>
        </w:rPr>
        <w:t>;</w:t>
      </w:r>
      <w:r w:rsidRPr="007626A2">
        <w:rPr>
          <w:lang w:val="en-US"/>
        </w:rPr>
        <w:t xml:space="preserve"> </w:t>
      </w:r>
    </w:p>
    <w:p w14:paraId="4F85E25F" w14:textId="5F0A53BE" w:rsidR="002C1C04" w:rsidRPr="007626A2" w:rsidRDefault="002C1C04" w:rsidP="00565DE7">
      <w:pPr>
        <w:pStyle w:val="ListParagraph"/>
        <w:numPr>
          <w:ilvl w:val="0"/>
          <w:numId w:val="17"/>
        </w:numPr>
        <w:spacing w:after="60" w:line="288" w:lineRule="auto"/>
        <w:jc w:val="both"/>
        <w:rPr>
          <w:lang w:val="en-US"/>
        </w:rPr>
      </w:pPr>
      <w:r w:rsidRPr="007626A2">
        <w:rPr>
          <w:lang w:val="en-US"/>
        </w:rPr>
        <w:t>the forecast transferred expenditure is low (indicating little competition with local venues)</w:t>
      </w:r>
      <w:r w:rsidR="00D80909">
        <w:rPr>
          <w:lang w:val="en-US"/>
        </w:rPr>
        <w:t>;</w:t>
      </w:r>
      <w:r w:rsidRPr="007626A2">
        <w:rPr>
          <w:lang w:val="en-US"/>
        </w:rPr>
        <w:t xml:space="preserve"> </w:t>
      </w:r>
    </w:p>
    <w:p w14:paraId="5E4A3A2A" w14:textId="4A8A793F" w:rsidR="002C1C04" w:rsidRPr="007626A2" w:rsidRDefault="002C1C04" w:rsidP="00565DE7">
      <w:pPr>
        <w:pStyle w:val="ListParagraph"/>
        <w:numPr>
          <w:ilvl w:val="0"/>
          <w:numId w:val="17"/>
        </w:numPr>
        <w:spacing w:after="60" w:line="288" w:lineRule="auto"/>
        <w:jc w:val="both"/>
        <w:rPr>
          <w:lang w:val="en-US"/>
        </w:rPr>
      </w:pPr>
      <w:r w:rsidRPr="007626A2">
        <w:rPr>
          <w:lang w:val="en-US"/>
        </w:rPr>
        <w:t xml:space="preserve">there are already </w:t>
      </w:r>
      <w:proofErr w:type="gramStart"/>
      <w:r w:rsidRPr="007626A2">
        <w:rPr>
          <w:lang w:val="en-US"/>
        </w:rPr>
        <w:t>a number of</w:t>
      </w:r>
      <w:proofErr w:type="gramEnd"/>
      <w:r w:rsidRPr="007626A2">
        <w:rPr>
          <w:lang w:val="en-US"/>
        </w:rPr>
        <w:t xml:space="preserve"> local venues in competition with each other</w:t>
      </w:r>
      <w:r>
        <w:rPr>
          <w:lang w:val="en-US"/>
        </w:rPr>
        <w:t xml:space="preserve">, thereby minimizing the relative </w:t>
      </w:r>
      <w:r w:rsidRPr="007626A2">
        <w:rPr>
          <w:lang w:val="en-US"/>
        </w:rPr>
        <w:t>impact of the application</w:t>
      </w:r>
      <w:r w:rsidR="00D80909">
        <w:rPr>
          <w:lang w:val="en-US"/>
        </w:rPr>
        <w:t>;</w:t>
      </w:r>
      <w:r w:rsidRPr="007626A2">
        <w:rPr>
          <w:lang w:val="en-US"/>
        </w:rPr>
        <w:t xml:space="preserve"> or </w:t>
      </w:r>
    </w:p>
    <w:p w14:paraId="60A64D6C" w14:textId="77777777" w:rsidR="002C1C04" w:rsidRPr="00D80909" w:rsidRDefault="002C1C04" w:rsidP="00D80909">
      <w:pPr>
        <w:numPr>
          <w:ilvl w:val="0"/>
          <w:numId w:val="9"/>
        </w:numPr>
        <w:jc w:val="both"/>
      </w:pPr>
      <w:r w:rsidRPr="00D80909">
        <w:t>the scale of the application - and therefore its likely competitive impact - is small.</w:t>
      </w:r>
    </w:p>
    <w:p w14:paraId="1D35A53F" w14:textId="77777777" w:rsidR="0020401B" w:rsidRPr="002C1C04" w:rsidRDefault="0020401B" w:rsidP="00D80909">
      <w:pPr>
        <w:spacing w:after="60"/>
        <w:jc w:val="both"/>
        <w:rPr>
          <w:b/>
          <w:bCs/>
          <w:color w:val="153D63" w:themeColor="text2" w:themeTint="E6"/>
        </w:rPr>
      </w:pPr>
      <w:r w:rsidRPr="002C1C04">
        <w:rPr>
          <w:b/>
          <w:bCs/>
          <w:color w:val="153D63" w:themeColor="text2" w:themeTint="E6"/>
        </w:rPr>
        <w:t>Diversion of Trade from Local Businesses</w:t>
      </w:r>
    </w:p>
    <w:p w14:paraId="2E1122DA" w14:textId="362951FD" w:rsidR="0020401B" w:rsidRPr="0020401B" w:rsidRDefault="0020401B" w:rsidP="00565DE7">
      <w:pPr>
        <w:spacing w:after="100"/>
        <w:jc w:val="both"/>
      </w:pPr>
      <w:r w:rsidRPr="0020401B">
        <w:t xml:space="preserve">The diversion of trade from existing local businesses may be </w:t>
      </w:r>
      <w:r>
        <w:t xml:space="preserve">regarded as </w:t>
      </w:r>
      <w:r w:rsidRPr="0020401B">
        <w:t>a negative consequence where it results in a reduction in services available to the community.</w:t>
      </w:r>
    </w:p>
    <w:p w14:paraId="6272CB2D" w14:textId="77777777" w:rsidR="0020401B" w:rsidRPr="0020401B" w:rsidRDefault="0020401B" w:rsidP="00AF3608">
      <w:pPr>
        <w:spacing w:after="100"/>
        <w:jc w:val="both"/>
      </w:pPr>
      <w:r w:rsidRPr="0020401B">
        <w:t>In practice, however, the Commission often accords limited weight to this issue because:</w:t>
      </w:r>
    </w:p>
    <w:p w14:paraId="68E97036" w14:textId="59B73480" w:rsidR="0020401B" w:rsidRPr="0020401B" w:rsidRDefault="00800ED4" w:rsidP="00565DE7">
      <w:pPr>
        <w:numPr>
          <w:ilvl w:val="0"/>
          <w:numId w:val="9"/>
        </w:numPr>
        <w:spacing w:after="60"/>
        <w:jc w:val="both"/>
      </w:pPr>
      <w:r>
        <w:t>a</w:t>
      </w:r>
      <w:r w:rsidR="0020401B" w:rsidRPr="0020401B">
        <w:t>ny impact is likely to be spread across numerous businesses</w:t>
      </w:r>
      <w:r>
        <w:t>;</w:t>
      </w:r>
    </w:p>
    <w:p w14:paraId="5E82B2EA" w14:textId="34D81AE6" w:rsidR="0020401B" w:rsidRPr="0020401B" w:rsidRDefault="00800ED4" w:rsidP="00565DE7">
      <w:pPr>
        <w:numPr>
          <w:ilvl w:val="0"/>
          <w:numId w:val="9"/>
        </w:numPr>
        <w:spacing w:after="60"/>
        <w:jc w:val="both"/>
      </w:pPr>
      <w:r>
        <w:t>e</w:t>
      </w:r>
      <w:r w:rsidR="0020401B" w:rsidRPr="0020401B">
        <w:t>xisting businesses are generally considered robust and well established</w:t>
      </w:r>
      <w:r>
        <w:t>;</w:t>
      </w:r>
    </w:p>
    <w:p w14:paraId="5716990B" w14:textId="775990DD" w:rsidR="0020401B" w:rsidRPr="0020401B" w:rsidRDefault="00800ED4" w:rsidP="00565DE7">
      <w:pPr>
        <w:numPr>
          <w:ilvl w:val="0"/>
          <w:numId w:val="9"/>
        </w:numPr>
        <w:spacing w:after="60"/>
        <w:jc w:val="both"/>
      </w:pPr>
      <w:r>
        <w:t>i</w:t>
      </w:r>
      <w:r w:rsidR="0020401B" w:rsidRPr="0020401B">
        <w:t>t is difficult to determine whether expenditure at the proposed venue would otherwise have been spent elsewhere within the municipality</w:t>
      </w:r>
      <w:r>
        <w:t>; and</w:t>
      </w:r>
    </w:p>
    <w:p w14:paraId="18FA1344" w14:textId="484BE848" w:rsidR="0020401B" w:rsidRPr="0020401B" w:rsidRDefault="00800ED4" w:rsidP="0020401B">
      <w:pPr>
        <w:numPr>
          <w:ilvl w:val="0"/>
          <w:numId w:val="9"/>
        </w:numPr>
        <w:jc w:val="both"/>
      </w:pPr>
      <w:r>
        <w:t>f</w:t>
      </w:r>
      <w:r w:rsidR="0020401B" w:rsidRPr="0020401B">
        <w:t>orecast transferred expenditure may be relatively low.</w:t>
      </w:r>
    </w:p>
    <w:p w14:paraId="4CC1CA21" w14:textId="77777777" w:rsidR="0020401B" w:rsidRPr="002C1C04" w:rsidRDefault="0020401B" w:rsidP="00D80909">
      <w:pPr>
        <w:spacing w:after="60"/>
        <w:jc w:val="both"/>
        <w:rPr>
          <w:b/>
          <w:bCs/>
          <w:color w:val="153D63" w:themeColor="text2" w:themeTint="E6"/>
        </w:rPr>
      </w:pPr>
      <w:r w:rsidRPr="002C1C04">
        <w:rPr>
          <w:b/>
          <w:bCs/>
          <w:color w:val="153D63" w:themeColor="text2" w:themeTint="E6"/>
        </w:rPr>
        <w:t>Improved Services and Amenities</w:t>
      </w:r>
    </w:p>
    <w:p w14:paraId="41743732" w14:textId="77777777" w:rsidR="0020401B" w:rsidRPr="0020401B" w:rsidRDefault="0020401B" w:rsidP="00AF3608">
      <w:pPr>
        <w:spacing w:after="100"/>
        <w:jc w:val="both"/>
      </w:pPr>
      <w:r w:rsidRPr="0020401B">
        <w:t>Proposed improvements to hospitality facilities and services, such as dining areas, entertainment facilities or accommodation, are generally viewed as a benefit, particularly in communities with limited hospitality options.</w:t>
      </w:r>
    </w:p>
    <w:p w14:paraId="22763F86" w14:textId="77777777" w:rsidR="0020401B" w:rsidRPr="0020401B" w:rsidRDefault="0020401B" w:rsidP="00D80909">
      <w:pPr>
        <w:spacing w:after="100"/>
        <w:jc w:val="both"/>
      </w:pPr>
      <w:r w:rsidRPr="0020401B">
        <w:t>Less weight is given where:</w:t>
      </w:r>
    </w:p>
    <w:p w14:paraId="2D6FC0A9" w14:textId="3628CCFD" w:rsidR="0020401B" w:rsidRPr="0020401B" w:rsidRDefault="00800ED4" w:rsidP="00D80909">
      <w:pPr>
        <w:numPr>
          <w:ilvl w:val="0"/>
          <w:numId w:val="9"/>
        </w:numPr>
        <w:spacing w:after="60"/>
        <w:jc w:val="both"/>
      </w:pPr>
      <w:r>
        <w:t>s</w:t>
      </w:r>
      <w:r w:rsidR="0020401B" w:rsidRPr="0020401B">
        <w:t>imilar facilities already exist locally</w:t>
      </w:r>
      <w:r>
        <w:t>;</w:t>
      </w:r>
    </w:p>
    <w:p w14:paraId="333EEA16" w14:textId="7F443550" w:rsidR="0020401B" w:rsidRPr="0020401B" w:rsidRDefault="00800ED4" w:rsidP="00D80909">
      <w:pPr>
        <w:numPr>
          <w:ilvl w:val="0"/>
          <w:numId w:val="9"/>
        </w:numPr>
        <w:spacing w:after="60"/>
        <w:jc w:val="both"/>
      </w:pPr>
      <w:r>
        <w:t>e</w:t>
      </w:r>
      <w:r w:rsidR="0020401B" w:rsidRPr="0020401B">
        <w:t xml:space="preserve">xisting services </w:t>
      </w:r>
      <w:r w:rsidR="00D80909">
        <w:t xml:space="preserve">at the venue </w:t>
      </w:r>
      <w:r w:rsidR="0020401B" w:rsidRPr="0020401B">
        <w:t>are already of a high standard</w:t>
      </w:r>
      <w:r>
        <w:t>; and</w:t>
      </w:r>
    </w:p>
    <w:p w14:paraId="0FA72DE7" w14:textId="43DDD87C" w:rsidR="0020401B" w:rsidRPr="0020401B" w:rsidRDefault="00800ED4" w:rsidP="00D80909">
      <w:pPr>
        <w:numPr>
          <w:ilvl w:val="0"/>
          <w:numId w:val="9"/>
        </w:numPr>
        <w:jc w:val="both"/>
      </w:pPr>
      <w:r>
        <w:t>t</w:t>
      </w:r>
      <w:r w:rsidR="0020401B" w:rsidRPr="0020401B">
        <w:t xml:space="preserve">he proposed improvements are </w:t>
      </w:r>
      <w:r w:rsidR="00D80909">
        <w:t>limited</w:t>
      </w:r>
      <w:r w:rsidR="0020401B" w:rsidRPr="0020401B">
        <w:t>.</w:t>
      </w:r>
    </w:p>
    <w:p w14:paraId="1B98BD94" w14:textId="77777777" w:rsidR="0020401B" w:rsidRPr="002C1C04" w:rsidRDefault="0020401B" w:rsidP="00D80909">
      <w:pPr>
        <w:spacing w:after="60"/>
        <w:jc w:val="both"/>
        <w:rPr>
          <w:b/>
          <w:bCs/>
          <w:color w:val="153D63" w:themeColor="text2" w:themeTint="E6"/>
        </w:rPr>
      </w:pPr>
      <w:r w:rsidRPr="002C1C04">
        <w:rPr>
          <w:b/>
          <w:bCs/>
          <w:color w:val="153D63" w:themeColor="text2" w:themeTint="E6"/>
        </w:rPr>
        <w:t>Taxation</w:t>
      </w:r>
    </w:p>
    <w:p w14:paraId="6DF80571" w14:textId="60736A91" w:rsidR="002C1C04" w:rsidRPr="005C6868" w:rsidRDefault="002C1C04" w:rsidP="00D80909">
      <w:pPr>
        <w:spacing w:after="120" w:line="288" w:lineRule="auto"/>
        <w:jc w:val="both"/>
        <w:rPr>
          <w:lang w:val="en-US"/>
        </w:rPr>
      </w:pPr>
      <w:r w:rsidRPr="005C6868">
        <w:rPr>
          <w:lang w:val="en-US"/>
        </w:rPr>
        <w:t xml:space="preserve">Since the attributes of an application which are being assessed by the Commission are those which benefit the municipality, the contribution of </w:t>
      </w:r>
      <w:r w:rsidR="00DB6807">
        <w:rPr>
          <w:lang w:val="en-US"/>
        </w:rPr>
        <w:t>gambling</w:t>
      </w:r>
      <w:r w:rsidRPr="005C6868">
        <w:rPr>
          <w:lang w:val="en-US"/>
        </w:rPr>
        <w:t xml:space="preserve"> expenditure to state taxes </w:t>
      </w:r>
      <w:r>
        <w:rPr>
          <w:lang w:val="en-US"/>
        </w:rPr>
        <w:t>is accorded</w:t>
      </w:r>
      <w:r w:rsidRPr="005C6868">
        <w:rPr>
          <w:lang w:val="en-US"/>
        </w:rPr>
        <w:t xml:space="preserve"> no weight.</w:t>
      </w:r>
    </w:p>
    <w:p w14:paraId="1743CB30" w14:textId="043F604F" w:rsidR="0020401B" w:rsidRPr="002C1C04" w:rsidRDefault="0020401B" w:rsidP="00D80909">
      <w:pPr>
        <w:spacing w:after="60"/>
        <w:jc w:val="both"/>
        <w:rPr>
          <w:b/>
          <w:bCs/>
          <w:color w:val="153D63" w:themeColor="text2" w:themeTint="E6"/>
        </w:rPr>
      </w:pPr>
      <w:r w:rsidRPr="002C1C04">
        <w:rPr>
          <w:b/>
          <w:bCs/>
          <w:color w:val="153D63" w:themeColor="text2" w:themeTint="E6"/>
        </w:rPr>
        <w:t>Conclusion</w:t>
      </w:r>
    </w:p>
    <w:p w14:paraId="1E8B9133" w14:textId="4E642476" w:rsidR="0020401B" w:rsidRDefault="0020401B" w:rsidP="0020401B">
      <w:pPr>
        <w:jc w:val="both"/>
      </w:pPr>
      <w:r w:rsidRPr="0020401B">
        <w:t>The Commission's assessment of gam</w:t>
      </w:r>
      <w:r w:rsidR="00D80909">
        <w:t>bl</w:t>
      </w:r>
      <w:r w:rsidRPr="0020401B">
        <w:t xml:space="preserve">ing applications </w:t>
      </w:r>
      <w:r w:rsidR="00D80909">
        <w:t>balances a variety</w:t>
      </w:r>
      <w:r w:rsidRPr="0020401B">
        <w:t xml:space="preserve"> of social and economic considerations. While socioeconomic vulnerability to gambling harm </w:t>
      </w:r>
      <w:r w:rsidR="00D80909">
        <w:t>are</w:t>
      </w:r>
      <w:r w:rsidRPr="0020401B">
        <w:t xml:space="preserve"> central concerns, the Commission also considers venue characteristics, harm-minimisation measures, community views and economic impacts. The weight accorded to each factor varies according to the circumstances of </w:t>
      </w:r>
      <w:r w:rsidRPr="0020401B">
        <w:lastRenderedPageBreak/>
        <w:t>the application, with decisions ultimately reflecting the Commission's assessment of whether the overall social and economic impacts of a proposal are likely to be positive or negative for the community.</w:t>
      </w:r>
    </w:p>
    <w:p w14:paraId="6C1094B3" w14:textId="77777777" w:rsidR="00AF3608" w:rsidRDefault="00AF3608" w:rsidP="0020401B">
      <w:pPr>
        <w:jc w:val="both"/>
      </w:pPr>
    </w:p>
    <w:p w14:paraId="635CF7F7" w14:textId="77777777" w:rsidR="00AF3608" w:rsidRPr="00162898" w:rsidRDefault="00AF3608" w:rsidP="00AF3608">
      <w:pPr>
        <w:spacing w:after="0" w:line="288" w:lineRule="auto"/>
        <w:jc w:val="both"/>
        <w:rPr>
          <w:rFonts w:ascii="Garamond" w:hAnsi="Garamond"/>
          <w:b/>
          <w:bCs/>
          <w:color w:val="153D63" w:themeColor="text2" w:themeTint="E6"/>
          <w:sz w:val="24"/>
          <w:szCs w:val="24"/>
          <w:lang w:val="en-US"/>
        </w:rPr>
      </w:pPr>
      <w:r>
        <w:rPr>
          <w:rFonts w:ascii="Garamond" w:hAnsi="Garamond"/>
          <w:b/>
          <w:bCs/>
          <w:color w:val="153D63" w:themeColor="text2" w:themeTint="E6"/>
          <w:sz w:val="24"/>
          <w:szCs w:val="24"/>
          <w:lang w:val="en-US"/>
        </w:rPr>
        <w:t>Reasons</w:t>
      </w:r>
      <w:r w:rsidRPr="00162898">
        <w:rPr>
          <w:rFonts w:ascii="Garamond" w:hAnsi="Garamond"/>
          <w:b/>
          <w:bCs/>
          <w:color w:val="153D63" w:themeColor="text2" w:themeTint="E6"/>
          <w:sz w:val="24"/>
          <w:szCs w:val="24"/>
          <w:lang w:val="en-US"/>
        </w:rPr>
        <w:t xml:space="preserve"> for </w:t>
      </w:r>
      <w:r>
        <w:rPr>
          <w:rFonts w:ascii="Garamond" w:hAnsi="Garamond"/>
          <w:b/>
          <w:bCs/>
          <w:color w:val="153D63" w:themeColor="text2" w:themeTint="E6"/>
          <w:sz w:val="24"/>
          <w:szCs w:val="24"/>
          <w:lang w:val="en-US"/>
        </w:rPr>
        <w:t>D</w:t>
      </w:r>
      <w:r w:rsidRPr="00162898">
        <w:rPr>
          <w:rFonts w:ascii="Garamond" w:hAnsi="Garamond"/>
          <w:b/>
          <w:bCs/>
          <w:color w:val="153D63" w:themeColor="text2" w:themeTint="E6"/>
          <w:sz w:val="24"/>
          <w:szCs w:val="24"/>
          <w:lang w:val="en-US"/>
        </w:rPr>
        <w:t>ecision reviewed here</w:t>
      </w:r>
    </w:p>
    <w:p w14:paraId="00A19FC4" w14:textId="77777777" w:rsidR="00AF3608" w:rsidRDefault="00AF3608" w:rsidP="00AF3608">
      <w:pPr>
        <w:pStyle w:val="ListParagraph"/>
        <w:numPr>
          <w:ilvl w:val="0"/>
          <w:numId w:val="16"/>
        </w:numPr>
        <w:spacing w:after="0" w:line="312" w:lineRule="auto"/>
        <w:ind w:left="714" w:hanging="357"/>
        <w:rPr>
          <w:lang w:val="en-US"/>
        </w:rPr>
      </w:pPr>
      <w:r>
        <w:rPr>
          <w:lang w:val="en-US"/>
        </w:rPr>
        <w:t>Club Officer, Cardinia, 20 EGMs, granted</w:t>
      </w:r>
    </w:p>
    <w:p w14:paraId="537ADE4B" w14:textId="77777777" w:rsidR="00AF3608" w:rsidRDefault="00AF3608" w:rsidP="00AF3608">
      <w:pPr>
        <w:pStyle w:val="ListParagraph"/>
        <w:numPr>
          <w:ilvl w:val="0"/>
          <w:numId w:val="16"/>
        </w:numPr>
        <w:spacing w:after="0" w:line="312" w:lineRule="auto"/>
        <w:ind w:left="714" w:hanging="357"/>
        <w:rPr>
          <w:lang w:val="en-US"/>
        </w:rPr>
      </w:pPr>
      <w:r>
        <w:rPr>
          <w:lang w:val="en-US"/>
        </w:rPr>
        <w:t>Club Wodonga, Wodonga, 70 EGMs, 2025, refused</w:t>
      </w:r>
    </w:p>
    <w:p w14:paraId="2BAED703" w14:textId="77777777" w:rsidR="00AF3608" w:rsidRDefault="00AF3608" w:rsidP="00AF3608">
      <w:pPr>
        <w:pStyle w:val="ListParagraph"/>
        <w:numPr>
          <w:ilvl w:val="0"/>
          <w:numId w:val="16"/>
        </w:numPr>
        <w:spacing w:after="0" w:line="312" w:lineRule="auto"/>
        <w:ind w:left="714" w:hanging="357"/>
        <w:rPr>
          <w:lang w:val="en-US"/>
        </w:rPr>
      </w:pPr>
      <w:r>
        <w:rPr>
          <w:lang w:val="en-US"/>
        </w:rPr>
        <w:t>Cranbourne Pakenham Racing Club, Cardinia, 20 EGMs, granted</w:t>
      </w:r>
    </w:p>
    <w:p w14:paraId="6D7B6561" w14:textId="77777777" w:rsidR="00AF3608" w:rsidRDefault="00AF3608" w:rsidP="00AF3608">
      <w:pPr>
        <w:pStyle w:val="ListParagraph"/>
        <w:numPr>
          <w:ilvl w:val="0"/>
          <w:numId w:val="16"/>
        </w:numPr>
        <w:spacing w:after="0" w:line="312" w:lineRule="auto"/>
        <w:ind w:left="714" w:hanging="357"/>
        <w:rPr>
          <w:lang w:val="en-US"/>
        </w:rPr>
      </w:pPr>
      <w:r>
        <w:rPr>
          <w:lang w:val="en-US"/>
        </w:rPr>
        <w:t>Dorset Gardens Hotel, Maroondah, 8 EGMs, 2026, granted</w:t>
      </w:r>
    </w:p>
    <w:p w14:paraId="31ED2B88"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Doxa Community Club, Melbourne, 2024, 5 EGMs, granted</w:t>
      </w:r>
    </w:p>
    <w:p w14:paraId="72ABCC75"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Grosvenor Hotel, Port Phillip, 2023, 40 EGM, granted</w:t>
      </w:r>
    </w:p>
    <w:p w14:paraId="43CF8C5B"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Hotel 520, Wyndham, 2023, 12 EGMs, granted</w:t>
      </w:r>
    </w:p>
    <w:p w14:paraId="0C484F9C"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Huntly Hotel, Greater Bendigo, 2024, new venue, 40 EGMs, granted</w:t>
      </w:r>
    </w:p>
    <w:p w14:paraId="4D22D143"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McKinon Hotel, Glen Eira, 2022, 15 EGMs, granted</w:t>
      </w:r>
    </w:p>
    <w:p w14:paraId="4BC2DD04"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Robin Hood Hotel, Ballarat, 2021, 8 EGMs, refused</w:t>
      </w:r>
    </w:p>
    <w:p w14:paraId="0DA5CEF4"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Romsey Community Hotel, Macedon Ranges, 2024, new venue 50 EGMs, refused</w:t>
      </w:r>
    </w:p>
    <w:p w14:paraId="2D011AB8"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Royal Hotel Koo Wee Rup, Cardinia, 2021, new venue 40 EGMs, refused</w:t>
      </w:r>
    </w:p>
    <w:p w14:paraId="1E6AC18A"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Silk Lounge, Melbourne, 2022, new premises 50 EGMs, granted</w:t>
      </w:r>
    </w:p>
    <w:p w14:paraId="008F838F"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Valley Inn Hotel, Greater Geelong, 2022, 10 EGMs, refused</w:t>
      </w:r>
    </w:p>
    <w:p w14:paraId="1CB6AFD0" w14:textId="77777777" w:rsidR="00AF3608" w:rsidRDefault="00AF3608" w:rsidP="00AF3608">
      <w:pPr>
        <w:pStyle w:val="ListParagraph"/>
        <w:numPr>
          <w:ilvl w:val="0"/>
          <w:numId w:val="16"/>
        </w:numPr>
        <w:spacing w:after="0" w:line="312" w:lineRule="auto"/>
        <w:ind w:left="714" w:hanging="357"/>
        <w:rPr>
          <w:lang w:val="en-US"/>
        </w:rPr>
      </w:pPr>
      <w:r w:rsidRPr="00233F4D">
        <w:rPr>
          <w:lang w:val="en-US"/>
        </w:rPr>
        <w:t>Valley Inn Hotel, Greater Geelong, 2024, 15 EGMs, granted</w:t>
      </w:r>
    </w:p>
    <w:p w14:paraId="27836E25"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Werribee Football Club, Wyndham, 2021, new venue 70 EGMs, granted</w:t>
      </w:r>
    </w:p>
    <w:p w14:paraId="616463FE" w14:textId="46E8D5BD" w:rsidR="00AF3608" w:rsidRDefault="00AF3608">
      <w:r>
        <w:br w:type="page"/>
      </w:r>
    </w:p>
    <w:p w14:paraId="6D5C87F4" w14:textId="11D882BF" w:rsidR="00AF3608" w:rsidRPr="0020401B" w:rsidRDefault="00AF3608" w:rsidP="0020401B">
      <w:pPr>
        <w:jc w:val="both"/>
      </w:pPr>
      <w:r w:rsidRPr="00AC310E">
        <w:rPr>
          <w:noProof/>
        </w:rPr>
        <w:lastRenderedPageBreak/>
        <w:drawing>
          <wp:inline distT="0" distB="0" distL="0" distR="0" wp14:anchorId="3A1C8A77" wp14:editId="54134B43">
            <wp:extent cx="9279438" cy="6072349"/>
            <wp:effectExtent l="0" t="0" r="1587" b="1588"/>
            <wp:docPr id="395203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9309964" cy="6092325"/>
                    </a:xfrm>
                    <a:prstGeom prst="rect">
                      <a:avLst/>
                    </a:prstGeom>
                    <a:noFill/>
                    <a:ln>
                      <a:noFill/>
                    </a:ln>
                  </pic:spPr>
                </pic:pic>
              </a:graphicData>
            </a:graphic>
          </wp:inline>
        </w:drawing>
      </w:r>
    </w:p>
    <w:sectPr w:rsidR="00AF3608" w:rsidRPr="0020401B" w:rsidSect="0020401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3552D"/>
    <w:multiLevelType w:val="multilevel"/>
    <w:tmpl w:val="B62A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A68BA"/>
    <w:multiLevelType w:val="multilevel"/>
    <w:tmpl w:val="FEEC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D12EA"/>
    <w:multiLevelType w:val="multilevel"/>
    <w:tmpl w:val="784E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7456C0"/>
    <w:multiLevelType w:val="multilevel"/>
    <w:tmpl w:val="9FAE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2F375B"/>
    <w:multiLevelType w:val="multilevel"/>
    <w:tmpl w:val="C13A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20701"/>
    <w:multiLevelType w:val="multilevel"/>
    <w:tmpl w:val="B77C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CC0778"/>
    <w:multiLevelType w:val="multilevel"/>
    <w:tmpl w:val="8DB4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E456ED"/>
    <w:multiLevelType w:val="hybridMultilevel"/>
    <w:tmpl w:val="1668E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CA1BC6"/>
    <w:multiLevelType w:val="multilevel"/>
    <w:tmpl w:val="8422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8C2ECC"/>
    <w:multiLevelType w:val="multilevel"/>
    <w:tmpl w:val="EBB0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076FDB"/>
    <w:multiLevelType w:val="multilevel"/>
    <w:tmpl w:val="CD56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FD5B63"/>
    <w:multiLevelType w:val="multilevel"/>
    <w:tmpl w:val="563E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B91D4E"/>
    <w:multiLevelType w:val="multilevel"/>
    <w:tmpl w:val="C1E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067715"/>
    <w:multiLevelType w:val="multilevel"/>
    <w:tmpl w:val="863A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1F6D09"/>
    <w:multiLevelType w:val="multilevel"/>
    <w:tmpl w:val="A59AA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3F2EFF"/>
    <w:multiLevelType w:val="multilevel"/>
    <w:tmpl w:val="5898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6468D2"/>
    <w:multiLevelType w:val="hybridMultilevel"/>
    <w:tmpl w:val="26B2C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5438739">
    <w:abstractNumId w:val="0"/>
  </w:num>
  <w:num w:numId="2" w16cid:durableId="689450718">
    <w:abstractNumId w:val="1"/>
  </w:num>
  <w:num w:numId="3" w16cid:durableId="31462512">
    <w:abstractNumId w:val="11"/>
  </w:num>
  <w:num w:numId="4" w16cid:durableId="1733381402">
    <w:abstractNumId w:val="13"/>
  </w:num>
  <w:num w:numId="5" w16cid:durableId="1764452993">
    <w:abstractNumId w:val="9"/>
  </w:num>
  <w:num w:numId="6" w16cid:durableId="914514135">
    <w:abstractNumId w:val="5"/>
  </w:num>
  <w:num w:numId="7" w16cid:durableId="1775128581">
    <w:abstractNumId w:val="15"/>
  </w:num>
  <w:num w:numId="8" w16cid:durableId="26493260">
    <w:abstractNumId w:val="3"/>
  </w:num>
  <w:num w:numId="9" w16cid:durableId="1560289201">
    <w:abstractNumId w:val="12"/>
  </w:num>
  <w:num w:numId="10" w16cid:durableId="599147231">
    <w:abstractNumId w:val="14"/>
  </w:num>
  <w:num w:numId="11" w16cid:durableId="517738076">
    <w:abstractNumId w:val="4"/>
  </w:num>
  <w:num w:numId="12" w16cid:durableId="571159099">
    <w:abstractNumId w:val="2"/>
  </w:num>
  <w:num w:numId="13" w16cid:durableId="983240979">
    <w:abstractNumId w:val="8"/>
  </w:num>
  <w:num w:numId="14" w16cid:durableId="1234852137">
    <w:abstractNumId w:val="6"/>
  </w:num>
  <w:num w:numId="15" w16cid:durableId="110252539">
    <w:abstractNumId w:val="10"/>
  </w:num>
  <w:num w:numId="16" w16cid:durableId="1316909184">
    <w:abstractNumId w:val="7"/>
  </w:num>
  <w:num w:numId="17" w16cid:durableId="7838865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1B"/>
    <w:rsid w:val="000513B7"/>
    <w:rsid w:val="00071075"/>
    <w:rsid w:val="0020401B"/>
    <w:rsid w:val="00254C53"/>
    <w:rsid w:val="002C1C04"/>
    <w:rsid w:val="00352659"/>
    <w:rsid w:val="00380076"/>
    <w:rsid w:val="003F50EA"/>
    <w:rsid w:val="00565DE7"/>
    <w:rsid w:val="006B0274"/>
    <w:rsid w:val="007936B4"/>
    <w:rsid w:val="007F1EB6"/>
    <w:rsid w:val="00800ED4"/>
    <w:rsid w:val="009B04D8"/>
    <w:rsid w:val="009C54FC"/>
    <w:rsid w:val="00AD4B6D"/>
    <w:rsid w:val="00AF3608"/>
    <w:rsid w:val="00B9491D"/>
    <w:rsid w:val="00BF5816"/>
    <w:rsid w:val="00C8204B"/>
    <w:rsid w:val="00D80678"/>
    <w:rsid w:val="00D80909"/>
    <w:rsid w:val="00DB6807"/>
    <w:rsid w:val="00E0148B"/>
    <w:rsid w:val="00E44530"/>
    <w:rsid w:val="00F3081B"/>
    <w:rsid w:val="00F31C60"/>
    <w:rsid w:val="00F844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99DFA"/>
  <w15:chartTrackingRefBased/>
  <w15:docId w15:val="{80CDA52A-382F-4366-AB66-DF4EB9AF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4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0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0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40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40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0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0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0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0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0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0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0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0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0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0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0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01B"/>
    <w:rPr>
      <w:rFonts w:eastAsiaTheme="majorEastAsia" w:cstheme="majorBidi"/>
      <w:color w:val="272727" w:themeColor="text1" w:themeTint="D8"/>
    </w:rPr>
  </w:style>
  <w:style w:type="paragraph" w:styleId="Title">
    <w:name w:val="Title"/>
    <w:basedOn w:val="Normal"/>
    <w:next w:val="Normal"/>
    <w:link w:val="TitleChar"/>
    <w:uiPriority w:val="10"/>
    <w:qFormat/>
    <w:rsid w:val="00204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0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0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0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01B"/>
    <w:pPr>
      <w:spacing w:before="160"/>
      <w:jc w:val="center"/>
    </w:pPr>
    <w:rPr>
      <w:i/>
      <w:iCs/>
      <w:color w:val="404040" w:themeColor="text1" w:themeTint="BF"/>
    </w:rPr>
  </w:style>
  <w:style w:type="character" w:customStyle="1" w:styleId="QuoteChar">
    <w:name w:val="Quote Char"/>
    <w:basedOn w:val="DefaultParagraphFont"/>
    <w:link w:val="Quote"/>
    <w:uiPriority w:val="29"/>
    <w:rsid w:val="0020401B"/>
    <w:rPr>
      <w:i/>
      <w:iCs/>
      <w:color w:val="404040" w:themeColor="text1" w:themeTint="BF"/>
    </w:rPr>
  </w:style>
  <w:style w:type="paragraph" w:styleId="ListParagraph">
    <w:name w:val="List Paragraph"/>
    <w:basedOn w:val="Normal"/>
    <w:uiPriority w:val="34"/>
    <w:qFormat/>
    <w:rsid w:val="0020401B"/>
    <w:pPr>
      <w:ind w:left="720"/>
      <w:contextualSpacing/>
    </w:pPr>
  </w:style>
  <w:style w:type="character" w:styleId="IntenseEmphasis">
    <w:name w:val="Intense Emphasis"/>
    <w:basedOn w:val="DefaultParagraphFont"/>
    <w:uiPriority w:val="21"/>
    <w:qFormat/>
    <w:rsid w:val="0020401B"/>
    <w:rPr>
      <w:i/>
      <w:iCs/>
      <w:color w:val="0F4761" w:themeColor="accent1" w:themeShade="BF"/>
    </w:rPr>
  </w:style>
  <w:style w:type="paragraph" w:styleId="IntenseQuote">
    <w:name w:val="Intense Quote"/>
    <w:basedOn w:val="Normal"/>
    <w:next w:val="Normal"/>
    <w:link w:val="IntenseQuoteChar"/>
    <w:uiPriority w:val="30"/>
    <w:qFormat/>
    <w:rsid w:val="00204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401B"/>
    <w:rPr>
      <w:i/>
      <w:iCs/>
      <w:color w:val="0F4761" w:themeColor="accent1" w:themeShade="BF"/>
    </w:rPr>
  </w:style>
  <w:style w:type="character" w:styleId="IntenseReference">
    <w:name w:val="Intense Reference"/>
    <w:basedOn w:val="DefaultParagraphFont"/>
    <w:uiPriority w:val="32"/>
    <w:qFormat/>
    <w:rsid w:val="002040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emf" Id="rId5" /><Relationship Type="http://schemas.openxmlformats.org/officeDocument/2006/relationships/webSettings" Target="webSettings.xml" Id="rId4" /><Relationship Type="http://schemas.openxmlformats.org/officeDocument/2006/relationships/customXml" Target="/customXml/item.xml" Id="R8693ae48ed0a4d7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A14035510</value>
    </field>
    <field name="Objective-Title">
      <value order="0">Guide to EGM Applications 2026</value>
    </field>
    <field name="Objective-Description">
      <value order="0"/>
    </field>
    <field name="Objective-CreationStamp">
      <value order="0">2026-08-18T02:57:59Z</value>
    </field>
    <field name="Objective-IsApproved">
      <value order="0">false</value>
    </field>
    <field name="Objective-IsPublished">
      <value order="0">true</value>
    </field>
    <field name="Objective-DatePublished">
      <value order="0">2026-08-18T02:58:00Z</value>
    </field>
    <field name="Objective-ModificationStamp">
      <value order="0">2026-08-20T05:39:49Z</value>
    </field>
    <field name="Objective-Owner">
      <value order="0">Hayden Brown</value>
    </field>
    <field name="Objective-Path">
      <value order="0">Classified Object:Classified Object:Classified Object:Census Analysis 2022 Website Files</value>
    </field>
    <field name="Objective-Parent">
      <value order="0">Census Analysis 2022 Website Files</value>
    </field>
    <field name="Objective-State">
      <value order="0">Published</value>
    </field>
    <field name="Objective-VersionId">
      <value order="0">vA17505842</value>
    </field>
    <field name="Objective-Version">
      <value order="0">1.0</value>
    </field>
    <field name="Objective-VersionNumber">
      <value order="0">1</value>
    </field>
    <field name="Objective-VersionComment">
      <value order="0"/>
    </field>
    <field name="Objective-FileNumber">
      <value order="0">qA481061</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2836</Words>
  <Characters>17055</Characters>
  <Application>Microsoft Office Word</Application>
  <DocSecurity>0</DocSecurity>
  <Lines>323</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Hayden Brown</dc:creator>
  <cp:keywords/>
  <dc:description/>
  <cp:lastModifiedBy>Hayden Brown</cp:lastModifiedBy>
  <cp:revision>2</cp:revision>
  <cp:lastPrinted>2026-08-17T02:03:00Z</cp:lastPrinted>
  <dcterms:created xsi:type="dcterms:W3CDTF">2026-08-18T02:48:00Z</dcterms:created>
  <dcterms:modified xsi:type="dcterms:W3CDTF">2026-08-18T02:48:00Z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A14035510</vt:lpwstr>
  </op:property>
  <op:property fmtid="{D5CDD505-2E9C-101B-9397-08002B2CF9AE}" pid="4" name="Objective-Title">
    <vt:lpwstr xmlns:vt="http://schemas.openxmlformats.org/officeDocument/2006/docPropsVTypes">Guide to EGM Applications 2026</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2026-08-18T02:57:59Z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2026-08-18T02:58:00Z</vt:filetime>
  </op:property>
  <op:property fmtid="{D5CDD505-2E9C-101B-9397-08002B2CF9AE}" pid="10" name="Objective-ModificationStamp">
    <vt:filetime xmlns:vt="http://schemas.openxmlformats.org/officeDocument/2006/docPropsVTypes">2026-08-20T05:39:49Z</vt:filetime>
  </op:property>
  <op:property fmtid="{D5CDD505-2E9C-101B-9397-08002B2CF9AE}" pid="11" name="Objective-Owner">
    <vt:lpwstr xmlns:vt="http://schemas.openxmlformats.org/officeDocument/2006/docPropsVTypes">Hayden Brown</vt:lpwstr>
  </op:property>
  <op:property fmtid="{D5CDD505-2E9C-101B-9397-08002B2CF9AE}" pid="12" name="Objective-Path">
    <vt:lpwstr xmlns:vt="http://schemas.openxmlformats.org/officeDocument/2006/docPropsVTypes">Classified Object:Classified Object:Classified Object:Census Analysis 2022 Website Files</vt:lpwstr>
  </op:property>
  <op:property fmtid="{D5CDD505-2E9C-101B-9397-08002B2CF9AE}" pid="13" name="Objective-Parent">
    <vt:lpwstr xmlns:vt="http://schemas.openxmlformats.org/officeDocument/2006/docPropsVTypes">Census Analysis 2022 Website Files</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vA17505842</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
  </op:property>
  <op:property fmtid="{D5CDD505-2E9C-101B-9397-08002B2CF9AE}" pid="19" name="Objective-FileNumber">
    <vt:lpwstr xmlns:vt="http://schemas.openxmlformats.org/officeDocument/2006/docPropsVTypes">qA481061</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