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C2E0FB" w14:textId="1BE52EB6" w:rsidR="0052503D" w:rsidRDefault="0052503D" w:rsidP="0052503D">
      <w:pPr>
        <w:spacing w:after="0" w:line="336" w:lineRule="auto"/>
        <w:jc w:val="center"/>
        <w:rPr>
          <w:color w:val="1F3864" w:themeColor="accent1" w:themeShade="80"/>
          <w:sz w:val="32"/>
          <w:szCs w:val="32"/>
        </w:rPr>
      </w:pPr>
      <w:r>
        <w:rPr>
          <w:b/>
          <w:bCs/>
          <w:color w:val="1F3864" w:themeColor="accent1" w:themeShade="80"/>
          <w:sz w:val="32"/>
          <w:szCs w:val="32"/>
        </w:rPr>
        <w:t xml:space="preserve">Intimate Partner Violence </w:t>
      </w:r>
      <w:r w:rsidR="008A5373">
        <w:rPr>
          <w:b/>
          <w:bCs/>
          <w:color w:val="1F3864" w:themeColor="accent1" w:themeShade="80"/>
          <w:sz w:val="32"/>
          <w:szCs w:val="32"/>
        </w:rPr>
        <w:t>among</w:t>
      </w:r>
      <w:r>
        <w:rPr>
          <w:b/>
          <w:bCs/>
          <w:color w:val="1F3864" w:themeColor="accent1" w:themeShade="80"/>
          <w:sz w:val="32"/>
          <w:szCs w:val="32"/>
        </w:rPr>
        <w:t xml:space="preserve"> LGBTI </w:t>
      </w:r>
      <w:r w:rsidR="003947CB">
        <w:rPr>
          <w:b/>
          <w:bCs/>
          <w:color w:val="1F3864" w:themeColor="accent1" w:themeShade="80"/>
          <w:sz w:val="32"/>
          <w:szCs w:val="32"/>
        </w:rPr>
        <w:t>Communities</w:t>
      </w:r>
    </w:p>
    <w:p w14:paraId="315D6659" w14:textId="77190441" w:rsidR="00DA4912" w:rsidRPr="00FE0E8B" w:rsidRDefault="00C1212B" w:rsidP="00D412FE">
      <w:pPr>
        <w:spacing w:after="0" w:line="240" w:lineRule="auto"/>
        <w:jc w:val="center"/>
        <w:rPr>
          <w:b/>
          <w:bCs/>
          <w:color w:val="1F3864" w:themeColor="accent1" w:themeShade="80"/>
        </w:rPr>
      </w:pPr>
      <w:r w:rsidRPr="00FE0E8B">
        <w:rPr>
          <w:b/>
          <w:bCs/>
          <w:color w:val="1F3864" w:themeColor="accent1" w:themeShade="80"/>
        </w:rPr>
        <w:t xml:space="preserve">Hayden Brown </w:t>
      </w:r>
      <w:r>
        <w:rPr>
          <w:b/>
          <w:bCs/>
          <w:color w:val="1F3864" w:themeColor="accent1" w:themeShade="80"/>
        </w:rPr>
        <w:t xml:space="preserve">and </w:t>
      </w:r>
      <w:r w:rsidR="00D412FE" w:rsidRPr="00FE0E8B">
        <w:rPr>
          <w:b/>
          <w:bCs/>
          <w:color w:val="1F3864" w:themeColor="accent1" w:themeShade="80"/>
        </w:rPr>
        <w:t>Marek Krol</w:t>
      </w:r>
    </w:p>
    <w:p w14:paraId="34094FD4" w14:textId="77777777" w:rsidR="00D412FE" w:rsidRPr="00106B93" w:rsidRDefault="00D412FE" w:rsidP="00DA4912">
      <w:pPr>
        <w:spacing w:after="0" w:line="240" w:lineRule="auto"/>
        <w:jc w:val="both"/>
        <w:rPr>
          <w:sz w:val="12"/>
          <w:szCs w:val="12"/>
        </w:rPr>
      </w:pPr>
    </w:p>
    <w:p w14:paraId="41524B76" w14:textId="34690DD2" w:rsidR="003B7CE6" w:rsidRDefault="00866A48" w:rsidP="007821BF">
      <w:pPr>
        <w:spacing w:after="0" w:line="288" w:lineRule="auto"/>
        <w:jc w:val="both"/>
      </w:pPr>
      <w:r>
        <w:t xml:space="preserve">This note briefly </w:t>
      </w:r>
      <w:r w:rsidR="00DE3630">
        <w:t>reviews</w:t>
      </w:r>
      <w:r w:rsidR="008A5373">
        <w:t xml:space="preserve"> </w:t>
      </w:r>
      <w:r w:rsidR="00762EB9">
        <w:t>commentary</w:t>
      </w:r>
      <w:r w:rsidR="008A5373">
        <w:t xml:space="preserve"> and evidence</w:t>
      </w:r>
      <w:r w:rsidR="002B681E">
        <w:t xml:space="preserve"> </w:t>
      </w:r>
      <w:r w:rsidR="008A5373">
        <w:t>concerning</w:t>
      </w:r>
      <w:r>
        <w:t xml:space="preserve"> intimate partner violence </w:t>
      </w:r>
      <w:r w:rsidR="008A5373">
        <w:t>among</w:t>
      </w:r>
      <w:r>
        <w:t xml:space="preserve"> </w:t>
      </w:r>
      <w:r w:rsidR="008A5373">
        <w:t>people of diverse gender identity</w:t>
      </w:r>
      <w:r w:rsidR="00F80E44">
        <w:t xml:space="preserve">, </w:t>
      </w:r>
      <w:r w:rsidR="008A5373">
        <w:t>sexuality</w:t>
      </w:r>
      <w:r w:rsidR="00F80E44">
        <w:t xml:space="preserve"> and sex</w:t>
      </w:r>
      <w:r>
        <w:t>.</w:t>
      </w:r>
      <w:r w:rsidR="00762EB9">
        <w:t xml:space="preserve"> Consideration </w:t>
      </w:r>
      <w:r w:rsidR="00386285">
        <w:t>is</w:t>
      </w:r>
      <w:r w:rsidR="00762EB9">
        <w:t xml:space="preserve"> given to the prevalence of such violen</w:t>
      </w:r>
      <w:r w:rsidR="00F72B3F">
        <w:t>t</w:t>
      </w:r>
      <w:r w:rsidR="00762EB9">
        <w:t xml:space="preserve"> relationships; its distinctive features within </w:t>
      </w:r>
      <w:r w:rsidR="00386285">
        <w:t>lesbian, gay, bisexual, trans</w:t>
      </w:r>
      <w:r w:rsidR="00E66B8C">
        <w:t>gender</w:t>
      </w:r>
      <w:r w:rsidR="00386285">
        <w:t xml:space="preserve"> and intersex (</w:t>
      </w:r>
      <w:r w:rsidR="00762EB9">
        <w:t>LGBTI</w:t>
      </w:r>
      <w:r w:rsidR="00386285">
        <w:t>)</w:t>
      </w:r>
      <w:r w:rsidR="00762EB9">
        <w:t xml:space="preserve"> </w:t>
      </w:r>
      <w:r w:rsidR="00EE4D6C">
        <w:t>communities</w:t>
      </w:r>
      <w:r w:rsidR="00762EB9">
        <w:t>; circumstances which cause or aggravate abuse</w:t>
      </w:r>
      <w:r w:rsidR="00F53F1F">
        <w:t xml:space="preserve"> within relationships</w:t>
      </w:r>
      <w:r w:rsidR="00762EB9">
        <w:t xml:space="preserve">; conditions which deter people from seeking advice or assistance; and </w:t>
      </w:r>
      <w:r w:rsidR="006D1A39">
        <w:t>measures</w:t>
      </w:r>
      <w:r w:rsidR="00762EB9">
        <w:t xml:space="preserve"> to address </w:t>
      </w:r>
      <w:r w:rsidR="00EE4D6C">
        <w:t>such</w:t>
      </w:r>
      <w:r w:rsidR="00762EB9">
        <w:t xml:space="preserve"> violence</w:t>
      </w:r>
      <w:r w:rsidR="00EB4DB0">
        <w:t xml:space="preserve"> </w:t>
      </w:r>
      <w:r w:rsidR="00F75650">
        <w:t>and</w:t>
      </w:r>
      <w:r w:rsidR="00EB4DB0">
        <w:t xml:space="preserve"> its causes</w:t>
      </w:r>
      <w:r w:rsidR="00762EB9">
        <w:t>.</w:t>
      </w:r>
    </w:p>
    <w:p w14:paraId="141B56D6" w14:textId="2A5F33BC" w:rsidR="00981D6E" w:rsidRDefault="005634C7" w:rsidP="00981D6E">
      <w:pPr>
        <w:spacing w:after="0" w:line="288" w:lineRule="auto"/>
        <w:jc w:val="both"/>
      </w:pPr>
      <w:r>
        <w:t>In these considerations, it</w:t>
      </w:r>
      <w:r w:rsidR="00043073">
        <w:t xml:space="preserve"> should be emphasized </w:t>
      </w:r>
      <w:r w:rsidR="00D412FE">
        <w:t>that LGBTI individuals and communities are</w:t>
      </w:r>
      <w:r w:rsidR="00386285">
        <w:t xml:space="preserve"> not homogeneous, </w:t>
      </w:r>
      <w:r w:rsidR="00B53162">
        <w:t>for they</w:t>
      </w:r>
      <w:r w:rsidR="00386285">
        <w:t xml:space="preserve"> encompass a wide variety of people</w:t>
      </w:r>
      <w:r w:rsidR="00BC0830">
        <w:t>,</w:t>
      </w:r>
      <w:r w:rsidR="00386285">
        <w:t xml:space="preserve"> </w:t>
      </w:r>
      <w:r w:rsidR="006D1A39">
        <w:t>who may differ</w:t>
      </w:r>
      <w:r w:rsidR="00386285">
        <w:t xml:space="preserve"> in their gender identity, sexual orientation, biological sex and other characteristics, as well as in their</w:t>
      </w:r>
      <w:r w:rsidR="00EB4DB0">
        <w:t xml:space="preserve"> individual</w:t>
      </w:r>
      <w:r w:rsidR="00386285">
        <w:t xml:space="preserve"> personal experiences and perceptions.</w:t>
      </w:r>
    </w:p>
    <w:p w14:paraId="5DC6FE75" w14:textId="55E87086" w:rsidR="00981D6E" w:rsidRDefault="00981D6E" w:rsidP="00054E65">
      <w:pPr>
        <w:spacing w:after="0" w:line="288" w:lineRule="auto"/>
        <w:jc w:val="both"/>
        <w:rPr>
          <w:b/>
          <w:bCs/>
          <w:sz w:val="12"/>
          <w:szCs w:val="12"/>
        </w:rPr>
      </w:pPr>
    </w:p>
    <w:p w14:paraId="0414E9D3" w14:textId="79449AF9" w:rsidR="00204369" w:rsidRPr="00EC5C21" w:rsidRDefault="00204369" w:rsidP="00533B5B">
      <w:pPr>
        <w:spacing w:after="60" w:line="240" w:lineRule="auto"/>
        <w:jc w:val="both"/>
        <w:rPr>
          <w:b/>
          <w:bCs/>
          <w:color w:val="1F3864" w:themeColor="accent1" w:themeShade="80"/>
          <w:lang w:val="en-AU"/>
        </w:rPr>
      </w:pPr>
      <w:r w:rsidRPr="00EC5C21">
        <w:rPr>
          <w:b/>
          <w:bCs/>
          <w:color w:val="1F3864" w:themeColor="accent1" w:themeShade="80"/>
          <w:lang w:val="en-AU"/>
        </w:rPr>
        <w:t>Prevalence of Intimate Partner Violence</w:t>
      </w:r>
    </w:p>
    <w:p w14:paraId="192699F8" w14:textId="2EAADB3A" w:rsidR="003B7CE6" w:rsidRPr="001A5C7E" w:rsidRDefault="003B7CE6" w:rsidP="007821BF">
      <w:pPr>
        <w:spacing w:after="0" w:line="288" w:lineRule="auto"/>
        <w:jc w:val="both"/>
        <w:rPr>
          <w:rFonts w:cstheme="minorHAnsi"/>
        </w:rPr>
      </w:pPr>
      <w:r w:rsidRPr="001A5C7E">
        <w:rPr>
          <w:rFonts w:cstheme="minorHAnsi"/>
        </w:rPr>
        <w:t>The task of documenting the prevalence of intimate partner violence</w:t>
      </w:r>
      <w:r w:rsidR="004048F5">
        <w:rPr>
          <w:rFonts w:cstheme="minorHAnsi"/>
        </w:rPr>
        <w:t>,</w:t>
      </w:r>
      <w:r w:rsidRPr="001A5C7E">
        <w:rPr>
          <w:rFonts w:cstheme="minorHAnsi"/>
        </w:rPr>
        <w:t xml:space="preserve"> </w:t>
      </w:r>
      <w:r w:rsidR="004048F5">
        <w:rPr>
          <w:rFonts w:cstheme="minorHAnsi"/>
        </w:rPr>
        <w:t>as well as other circumstances,</w:t>
      </w:r>
      <w:r w:rsidRPr="001A5C7E">
        <w:rPr>
          <w:rFonts w:cstheme="minorHAnsi"/>
        </w:rPr>
        <w:t xml:space="preserve"> among LGBTI </w:t>
      </w:r>
      <w:r w:rsidR="00B94836">
        <w:rPr>
          <w:rFonts w:cstheme="minorHAnsi"/>
        </w:rPr>
        <w:t>individuals</w:t>
      </w:r>
      <w:r w:rsidRPr="001A5C7E">
        <w:rPr>
          <w:rFonts w:cstheme="minorHAnsi"/>
        </w:rPr>
        <w:t xml:space="preserve"> is </w:t>
      </w:r>
      <w:r w:rsidR="00B94836">
        <w:rPr>
          <w:rFonts w:cstheme="minorHAnsi"/>
        </w:rPr>
        <w:t>burdened</w:t>
      </w:r>
      <w:r w:rsidR="00420D74" w:rsidRPr="001A5C7E">
        <w:rPr>
          <w:rFonts w:cstheme="minorHAnsi"/>
        </w:rPr>
        <w:t xml:space="preserve"> by</w:t>
      </w:r>
      <w:r w:rsidRPr="001A5C7E">
        <w:rPr>
          <w:rFonts w:cstheme="minorHAnsi"/>
        </w:rPr>
        <w:t xml:space="preserve"> the </w:t>
      </w:r>
      <w:r w:rsidR="00760513">
        <w:rPr>
          <w:rFonts w:cstheme="minorHAnsi"/>
        </w:rPr>
        <w:t xml:space="preserve">practical </w:t>
      </w:r>
      <w:r w:rsidRPr="001A5C7E">
        <w:rPr>
          <w:rFonts w:cstheme="minorHAnsi"/>
        </w:rPr>
        <w:t xml:space="preserve">difficulty of </w:t>
      </w:r>
      <w:r w:rsidR="00760513">
        <w:rPr>
          <w:rFonts w:cstheme="minorHAnsi"/>
        </w:rPr>
        <w:t xml:space="preserve">obtaining information </w:t>
      </w:r>
      <w:r w:rsidR="00110751">
        <w:rPr>
          <w:rFonts w:cstheme="minorHAnsi"/>
        </w:rPr>
        <w:t>from</w:t>
      </w:r>
      <w:r w:rsidRPr="001A5C7E">
        <w:rPr>
          <w:rFonts w:cstheme="minorHAnsi"/>
        </w:rPr>
        <w:t xml:space="preserve"> a random</w:t>
      </w:r>
      <w:r w:rsidR="00110751">
        <w:rPr>
          <w:rFonts w:cstheme="minorHAnsi"/>
        </w:rPr>
        <w:t>ly-selected</w:t>
      </w:r>
      <w:r w:rsidRPr="001A5C7E">
        <w:rPr>
          <w:rFonts w:cstheme="minorHAnsi"/>
        </w:rPr>
        <w:t xml:space="preserve">, representative sample of </w:t>
      </w:r>
      <w:r w:rsidR="0080531D" w:rsidRPr="001A5C7E">
        <w:rPr>
          <w:rFonts w:cstheme="minorHAnsi"/>
        </w:rPr>
        <w:t>their</w:t>
      </w:r>
      <w:r w:rsidRPr="001A5C7E">
        <w:rPr>
          <w:rFonts w:cstheme="minorHAnsi"/>
        </w:rPr>
        <w:t xml:space="preserve"> population (</w:t>
      </w:r>
      <w:r w:rsidR="00D973C4">
        <w:rPr>
          <w:rFonts w:cstheme="minorHAnsi"/>
        </w:rPr>
        <w:t>Witoslawski, 2020</w:t>
      </w:r>
      <w:r w:rsidR="00204369" w:rsidRPr="001A5C7E">
        <w:rPr>
          <w:rFonts w:cstheme="minorHAnsi"/>
        </w:rPr>
        <w:t>;</w:t>
      </w:r>
      <w:r w:rsidRPr="001A5C7E">
        <w:rPr>
          <w:rFonts w:cstheme="minorHAnsi"/>
        </w:rPr>
        <w:t xml:space="preserve"> </w:t>
      </w:r>
      <w:r w:rsidR="00D973C4">
        <w:rPr>
          <w:rFonts w:cstheme="minorHAnsi"/>
        </w:rPr>
        <w:t>National LGBT Health Alliance, 2009</w:t>
      </w:r>
      <w:r w:rsidR="00204369" w:rsidRPr="001A5C7E">
        <w:rPr>
          <w:rFonts w:cstheme="minorHAnsi"/>
        </w:rPr>
        <w:t>;</w:t>
      </w:r>
      <w:r w:rsidRPr="001A5C7E">
        <w:rPr>
          <w:rFonts w:cstheme="minorHAnsi"/>
        </w:rPr>
        <w:t xml:space="preserve"> </w:t>
      </w:r>
      <w:r w:rsidR="003810DB">
        <w:rPr>
          <w:rFonts w:cstheme="minorHAnsi"/>
        </w:rPr>
        <w:t>Campo and Tayton, 2015</w:t>
      </w:r>
      <w:r w:rsidRPr="001A5C7E">
        <w:rPr>
          <w:rFonts w:cstheme="minorHAnsi"/>
        </w:rPr>
        <w:t>). Instead, research</w:t>
      </w:r>
      <w:r w:rsidR="008361C5" w:rsidRPr="001A5C7E">
        <w:rPr>
          <w:rFonts w:cstheme="minorHAnsi"/>
        </w:rPr>
        <w:t xml:space="preserve"> often</w:t>
      </w:r>
      <w:r w:rsidRPr="001A5C7E">
        <w:rPr>
          <w:rFonts w:cstheme="minorHAnsi"/>
        </w:rPr>
        <w:t xml:space="preserve"> relies upon anecdotal evidence</w:t>
      </w:r>
      <w:r w:rsidR="00787D43" w:rsidRPr="001A5C7E">
        <w:rPr>
          <w:rFonts w:cstheme="minorHAnsi"/>
        </w:rPr>
        <w:t xml:space="preserve"> (</w:t>
      </w:r>
      <w:r w:rsidR="00D973C4">
        <w:rPr>
          <w:rFonts w:cstheme="minorHAnsi"/>
        </w:rPr>
        <w:t>National LGBT Health Alliance, 2009</w:t>
      </w:r>
      <w:r w:rsidR="00787D43" w:rsidRPr="001A5C7E">
        <w:rPr>
          <w:rFonts w:cstheme="minorHAnsi"/>
        </w:rPr>
        <w:t>)</w:t>
      </w:r>
      <w:r w:rsidRPr="001A5C7E">
        <w:rPr>
          <w:rFonts w:cstheme="minorHAnsi"/>
        </w:rPr>
        <w:t>,</w:t>
      </w:r>
      <w:r w:rsidR="008361C5" w:rsidRPr="001A5C7E">
        <w:rPr>
          <w:rFonts w:cstheme="minorHAnsi"/>
        </w:rPr>
        <w:t xml:space="preserve"> or</w:t>
      </w:r>
      <w:r w:rsidRPr="001A5C7E">
        <w:rPr>
          <w:rFonts w:cstheme="minorHAnsi"/>
        </w:rPr>
        <w:t xml:space="preserve"> the findings of small samples dr</w:t>
      </w:r>
      <w:r w:rsidR="00070D68" w:rsidRPr="001A5C7E">
        <w:rPr>
          <w:rFonts w:cstheme="minorHAnsi"/>
        </w:rPr>
        <w:t>a</w:t>
      </w:r>
      <w:r w:rsidRPr="001A5C7E">
        <w:rPr>
          <w:rFonts w:cstheme="minorHAnsi"/>
        </w:rPr>
        <w:t xml:space="preserve">wn from social groups, clubs, college students, people who respond to online </w:t>
      </w:r>
      <w:r w:rsidR="000E26F1" w:rsidRPr="001A5C7E">
        <w:rPr>
          <w:rFonts w:cstheme="minorHAnsi"/>
        </w:rPr>
        <w:t>surveys</w:t>
      </w:r>
      <w:r w:rsidR="00760513">
        <w:rPr>
          <w:rFonts w:cstheme="minorHAnsi"/>
        </w:rPr>
        <w:t>,</w:t>
      </w:r>
      <w:r w:rsidRPr="001A5C7E">
        <w:rPr>
          <w:rFonts w:cstheme="minorHAnsi"/>
        </w:rPr>
        <w:t xml:space="preserve"> and other convenient sources (</w:t>
      </w:r>
      <w:r w:rsidR="00BF57B7">
        <w:rPr>
          <w:rFonts w:cstheme="minorHAnsi"/>
        </w:rPr>
        <w:t>Stuart, 2018</w:t>
      </w:r>
      <w:r w:rsidR="005B2EF3">
        <w:rPr>
          <w:rFonts w:cstheme="minorHAnsi"/>
        </w:rPr>
        <w:t>;</w:t>
      </w:r>
      <w:r w:rsidRPr="001A5C7E">
        <w:rPr>
          <w:rFonts w:cstheme="minorHAnsi"/>
        </w:rPr>
        <w:t xml:space="preserve"> </w:t>
      </w:r>
      <w:r w:rsidR="00770866">
        <w:rPr>
          <w:rFonts w:cstheme="minorHAnsi"/>
        </w:rPr>
        <w:t>Leith et al, 2020</w:t>
      </w:r>
      <w:r w:rsidRPr="001A5C7E">
        <w:rPr>
          <w:rFonts w:cstheme="minorHAnsi"/>
        </w:rPr>
        <w:t xml:space="preserve">). </w:t>
      </w:r>
      <w:r w:rsidR="00C1111F">
        <w:rPr>
          <w:rFonts w:cstheme="minorHAnsi"/>
        </w:rPr>
        <w:t>Barrett (2015)</w:t>
      </w:r>
      <w:r w:rsidR="00AA58EF" w:rsidRPr="001A5C7E">
        <w:rPr>
          <w:rFonts w:cstheme="minorHAnsi"/>
        </w:rPr>
        <w:t xml:space="preserve"> for instance, observes that samples of people from social settings or LGBTI events, </w:t>
      </w:r>
      <w:r w:rsidR="008361C5" w:rsidRPr="001A5C7E">
        <w:rPr>
          <w:rFonts w:cstheme="minorHAnsi"/>
        </w:rPr>
        <w:t xml:space="preserve">tend to </w:t>
      </w:r>
      <w:r w:rsidR="00204369" w:rsidRPr="001A5C7E">
        <w:rPr>
          <w:rFonts w:cstheme="minorHAnsi"/>
        </w:rPr>
        <w:t>over-represent</w:t>
      </w:r>
      <w:r w:rsidR="00AA58EF" w:rsidRPr="001A5C7E">
        <w:rPr>
          <w:rFonts w:cstheme="minorHAnsi"/>
        </w:rPr>
        <w:t xml:space="preserve"> </w:t>
      </w:r>
      <w:r w:rsidR="000F756B" w:rsidRPr="001A5C7E">
        <w:rPr>
          <w:rFonts w:cstheme="minorHAnsi"/>
        </w:rPr>
        <w:t>those</w:t>
      </w:r>
      <w:r w:rsidR="00AA58EF" w:rsidRPr="001A5C7E">
        <w:rPr>
          <w:rFonts w:cstheme="minorHAnsi"/>
        </w:rPr>
        <w:t xml:space="preserve"> who are likely to be ‘out’</w:t>
      </w:r>
      <w:r w:rsidR="00110751">
        <w:rPr>
          <w:rFonts w:cstheme="minorHAnsi"/>
        </w:rPr>
        <w:t>,</w:t>
      </w:r>
      <w:r w:rsidR="00AA58EF" w:rsidRPr="001A5C7E">
        <w:rPr>
          <w:rFonts w:cstheme="minorHAnsi"/>
        </w:rPr>
        <w:t xml:space="preserve"> and </w:t>
      </w:r>
      <w:r w:rsidR="000F756B" w:rsidRPr="001A5C7E">
        <w:rPr>
          <w:rFonts w:cstheme="minorHAnsi"/>
        </w:rPr>
        <w:t>people</w:t>
      </w:r>
      <w:r w:rsidR="00AA58EF" w:rsidRPr="001A5C7E">
        <w:rPr>
          <w:rFonts w:cstheme="minorHAnsi"/>
        </w:rPr>
        <w:t xml:space="preserve"> from urban localities</w:t>
      </w:r>
      <w:r w:rsidR="00204369" w:rsidRPr="001A5C7E">
        <w:rPr>
          <w:rFonts w:cstheme="minorHAnsi"/>
        </w:rPr>
        <w:t xml:space="preserve">, </w:t>
      </w:r>
      <w:r w:rsidR="00AA58EF" w:rsidRPr="001A5C7E">
        <w:rPr>
          <w:rFonts w:cstheme="minorHAnsi"/>
        </w:rPr>
        <w:t>which can sus</w:t>
      </w:r>
      <w:r w:rsidR="00070D68" w:rsidRPr="001A5C7E">
        <w:rPr>
          <w:rFonts w:cstheme="minorHAnsi"/>
        </w:rPr>
        <w:t>t</w:t>
      </w:r>
      <w:r w:rsidR="00AA58EF" w:rsidRPr="001A5C7E">
        <w:rPr>
          <w:rFonts w:cstheme="minorHAnsi"/>
        </w:rPr>
        <w:t xml:space="preserve">ain larger social groups </w:t>
      </w:r>
      <w:r w:rsidR="00110751">
        <w:rPr>
          <w:rFonts w:cstheme="minorHAnsi"/>
        </w:rPr>
        <w:t>and</w:t>
      </w:r>
      <w:r w:rsidR="00AA58EF" w:rsidRPr="001A5C7E">
        <w:rPr>
          <w:rFonts w:cstheme="minorHAnsi"/>
        </w:rPr>
        <w:t xml:space="preserve"> events.</w:t>
      </w:r>
    </w:p>
    <w:p w14:paraId="5CB5550D" w14:textId="632AAB83" w:rsidR="00AA58EF" w:rsidRPr="001A5C7E" w:rsidRDefault="00760513" w:rsidP="007821BF">
      <w:pPr>
        <w:spacing w:after="0" w:line="288" w:lineRule="auto"/>
        <w:jc w:val="both"/>
        <w:rPr>
          <w:rFonts w:cstheme="minorHAnsi"/>
        </w:rPr>
      </w:pPr>
      <w:r>
        <w:rPr>
          <w:rFonts w:cstheme="minorHAnsi"/>
        </w:rPr>
        <w:t>Moreover, the findings of such research may reflect</w:t>
      </w:r>
      <w:r w:rsidR="00AA58EF" w:rsidRPr="001A5C7E">
        <w:rPr>
          <w:rFonts w:cstheme="minorHAnsi"/>
        </w:rPr>
        <w:t xml:space="preserve"> differences </w:t>
      </w:r>
      <w:r w:rsidR="00B44146" w:rsidRPr="001A5C7E">
        <w:rPr>
          <w:rFonts w:cstheme="minorHAnsi"/>
        </w:rPr>
        <w:t xml:space="preserve">in </w:t>
      </w:r>
      <w:r w:rsidR="00AA58EF" w:rsidRPr="001A5C7E">
        <w:rPr>
          <w:rFonts w:cstheme="minorHAnsi"/>
        </w:rPr>
        <w:t>definitions of gender, sexuality, abuse and violence</w:t>
      </w:r>
      <w:r w:rsidR="00204369" w:rsidRPr="001A5C7E">
        <w:rPr>
          <w:rFonts w:cstheme="minorHAnsi"/>
        </w:rPr>
        <w:t xml:space="preserve"> used by researchers</w:t>
      </w:r>
      <w:r w:rsidR="00AA58EF" w:rsidRPr="001A5C7E">
        <w:rPr>
          <w:rFonts w:cstheme="minorHAnsi"/>
        </w:rPr>
        <w:t xml:space="preserve"> (Carman et al, 2020)</w:t>
      </w:r>
      <w:r w:rsidR="00B44146" w:rsidRPr="001A5C7E">
        <w:rPr>
          <w:rFonts w:cstheme="minorHAnsi"/>
        </w:rPr>
        <w:t xml:space="preserve">; </w:t>
      </w:r>
      <w:r w:rsidR="000F756B" w:rsidRPr="001A5C7E">
        <w:rPr>
          <w:rFonts w:cstheme="minorHAnsi"/>
        </w:rPr>
        <w:t xml:space="preserve">variations </w:t>
      </w:r>
      <w:r w:rsidR="00AA58EF" w:rsidRPr="001A5C7E">
        <w:rPr>
          <w:rFonts w:cstheme="minorHAnsi"/>
        </w:rPr>
        <w:t>in the violent experience</w:t>
      </w:r>
      <w:r w:rsidR="00204369" w:rsidRPr="001A5C7E">
        <w:rPr>
          <w:rFonts w:cstheme="minorHAnsi"/>
        </w:rPr>
        <w:t>s</w:t>
      </w:r>
      <w:r w:rsidR="00AA58EF" w:rsidRPr="001A5C7E">
        <w:rPr>
          <w:rFonts w:cstheme="minorHAnsi"/>
        </w:rPr>
        <w:t xml:space="preserve"> recorded, </w:t>
      </w:r>
      <w:r w:rsidR="00204369" w:rsidRPr="001A5C7E">
        <w:rPr>
          <w:rFonts w:cstheme="minorHAnsi"/>
        </w:rPr>
        <w:t>such as</w:t>
      </w:r>
      <w:r w:rsidR="00070D68" w:rsidRPr="001A5C7E">
        <w:rPr>
          <w:rFonts w:cstheme="minorHAnsi"/>
        </w:rPr>
        <w:t xml:space="preserve"> </w:t>
      </w:r>
      <w:r w:rsidR="00AA58EF" w:rsidRPr="001A5C7E">
        <w:rPr>
          <w:rFonts w:cstheme="minorHAnsi"/>
        </w:rPr>
        <w:t xml:space="preserve">physical, sexual , emotional, verbal, </w:t>
      </w:r>
      <w:r w:rsidR="00F75650">
        <w:rPr>
          <w:rFonts w:cstheme="minorHAnsi"/>
        </w:rPr>
        <w:t xml:space="preserve">financial, </w:t>
      </w:r>
      <w:r w:rsidR="00AA58EF" w:rsidRPr="001A5C7E">
        <w:rPr>
          <w:rFonts w:cstheme="minorHAnsi"/>
        </w:rPr>
        <w:t>identi</w:t>
      </w:r>
      <w:r w:rsidR="00F42A41" w:rsidRPr="001A5C7E">
        <w:rPr>
          <w:rFonts w:cstheme="minorHAnsi"/>
        </w:rPr>
        <w:t>t</w:t>
      </w:r>
      <w:r w:rsidR="00AA58EF" w:rsidRPr="001A5C7E">
        <w:rPr>
          <w:rFonts w:cstheme="minorHAnsi"/>
        </w:rPr>
        <w:t>y and others</w:t>
      </w:r>
      <w:r w:rsidR="00787D43" w:rsidRPr="001A5C7E">
        <w:rPr>
          <w:rFonts w:cstheme="minorHAnsi"/>
        </w:rPr>
        <w:t xml:space="preserve"> (</w:t>
      </w:r>
      <w:r w:rsidR="00BF57B7">
        <w:rPr>
          <w:rFonts w:cstheme="minorHAnsi"/>
        </w:rPr>
        <w:t>Stuart, 2018</w:t>
      </w:r>
      <w:r w:rsidR="00C1111F">
        <w:rPr>
          <w:rFonts w:cstheme="minorHAnsi"/>
        </w:rPr>
        <w:t>;</w:t>
      </w:r>
      <w:r w:rsidR="00787D43" w:rsidRPr="001A5C7E">
        <w:rPr>
          <w:rFonts w:cstheme="minorHAnsi"/>
        </w:rPr>
        <w:t xml:space="preserve"> </w:t>
      </w:r>
      <w:r w:rsidR="00733FE7">
        <w:rPr>
          <w:rFonts w:cstheme="minorHAnsi"/>
        </w:rPr>
        <w:t>Jeffries and Ball, 2008</w:t>
      </w:r>
      <w:r w:rsidR="00787D43" w:rsidRPr="001A5C7E">
        <w:rPr>
          <w:rFonts w:cstheme="minorHAnsi"/>
        </w:rPr>
        <w:t>)</w:t>
      </w:r>
      <w:r w:rsidR="00AA58EF" w:rsidRPr="001A5C7E">
        <w:rPr>
          <w:rFonts w:cstheme="minorHAnsi"/>
        </w:rPr>
        <w:t xml:space="preserve">; </w:t>
      </w:r>
      <w:r w:rsidR="000F756B" w:rsidRPr="001A5C7E">
        <w:rPr>
          <w:rFonts w:cstheme="minorHAnsi"/>
        </w:rPr>
        <w:t>differences in the balance of</w:t>
      </w:r>
      <w:r w:rsidR="00B44146" w:rsidRPr="001A5C7E">
        <w:rPr>
          <w:rFonts w:cstheme="minorHAnsi"/>
        </w:rPr>
        <w:t xml:space="preserve"> </w:t>
      </w:r>
      <w:r w:rsidR="00AA58EF" w:rsidRPr="001A5C7E">
        <w:rPr>
          <w:rFonts w:cstheme="minorHAnsi"/>
        </w:rPr>
        <w:t xml:space="preserve">age, education level and other characteristics </w:t>
      </w:r>
      <w:r w:rsidR="00F75650">
        <w:rPr>
          <w:rFonts w:cstheme="minorHAnsi"/>
        </w:rPr>
        <w:t>among</w:t>
      </w:r>
      <w:r w:rsidR="00AA58EF" w:rsidRPr="001A5C7E">
        <w:rPr>
          <w:rFonts w:cstheme="minorHAnsi"/>
        </w:rPr>
        <w:t xml:space="preserve"> </w:t>
      </w:r>
      <w:r>
        <w:rPr>
          <w:rFonts w:cstheme="minorHAnsi"/>
        </w:rPr>
        <w:t>research participants</w:t>
      </w:r>
      <w:r w:rsidR="00AA58EF" w:rsidRPr="001A5C7E">
        <w:rPr>
          <w:rFonts w:cstheme="minorHAnsi"/>
        </w:rPr>
        <w:t xml:space="preserve"> (</w:t>
      </w:r>
      <w:r w:rsidR="00770866">
        <w:rPr>
          <w:rFonts w:cstheme="minorHAnsi"/>
        </w:rPr>
        <w:t>Leith et al, 2020</w:t>
      </w:r>
      <w:r w:rsidR="00AA58EF" w:rsidRPr="001A5C7E">
        <w:rPr>
          <w:rFonts w:cstheme="minorHAnsi"/>
        </w:rPr>
        <w:t xml:space="preserve">); </w:t>
      </w:r>
      <w:r w:rsidR="00AA3502" w:rsidRPr="001A5C7E">
        <w:rPr>
          <w:rFonts w:cstheme="minorHAnsi"/>
        </w:rPr>
        <w:t xml:space="preserve">and </w:t>
      </w:r>
      <w:r>
        <w:rPr>
          <w:rFonts w:cstheme="minorHAnsi"/>
        </w:rPr>
        <w:t xml:space="preserve">the </w:t>
      </w:r>
      <w:r w:rsidR="000F756B" w:rsidRPr="001A5C7E">
        <w:rPr>
          <w:rFonts w:cstheme="minorHAnsi"/>
        </w:rPr>
        <w:t>variety of</w:t>
      </w:r>
      <w:r w:rsidR="00AA58EF" w:rsidRPr="001A5C7E">
        <w:rPr>
          <w:rFonts w:cstheme="minorHAnsi"/>
        </w:rPr>
        <w:t xml:space="preserve"> time</w:t>
      </w:r>
      <w:r w:rsidR="00961AA9" w:rsidRPr="001A5C7E">
        <w:rPr>
          <w:rFonts w:cstheme="minorHAnsi"/>
        </w:rPr>
        <w:t>-</w:t>
      </w:r>
      <w:r w:rsidR="00AA58EF" w:rsidRPr="001A5C7E">
        <w:rPr>
          <w:rFonts w:cstheme="minorHAnsi"/>
        </w:rPr>
        <w:t>frames applied to recollections of the experience of violence</w:t>
      </w:r>
      <w:r w:rsidR="00B44146" w:rsidRPr="001A5C7E">
        <w:rPr>
          <w:rFonts w:cstheme="minorHAnsi"/>
        </w:rPr>
        <w:t xml:space="preserve"> -</w:t>
      </w:r>
      <w:r w:rsidR="00AA58EF" w:rsidRPr="001A5C7E">
        <w:rPr>
          <w:rFonts w:cstheme="minorHAnsi"/>
        </w:rPr>
        <w:t xml:space="preserve"> with some recording incidents across a lifetime and others in the more recent past (</w:t>
      </w:r>
      <w:r w:rsidR="00A4596D">
        <w:rPr>
          <w:rFonts w:cstheme="minorHAnsi"/>
        </w:rPr>
        <w:t>Campo and Tayton, 2015</w:t>
      </w:r>
      <w:r w:rsidR="00AA58EF" w:rsidRPr="001A5C7E">
        <w:rPr>
          <w:rFonts w:cstheme="minorHAnsi"/>
        </w:rPr>
        <w:t>).</w:t>
      </w:r>
    </w:p>
    <w:p w14:paraId="6D0AB6DD" w14:textId="68BA63A1" w:rsidR="002B681E" w:rsidRDefault="00760513" w:rsidP="007821BF">
      <w:pPr>
        <w:spacing w:after="0" w:line="288" w:lineRule="auto"/>
        <w:jc w:val="both"/>
      </w:pPr>
      <w:r>
        <w:t xml:space="preserve">As a consequence, the findings of research about the LGBTI </w:t>
      </w:r>
      <w:r w:rsidR="000A17ED">
        <w:t>communities</w:t>
      </w:r>
      <w:r w:rsidR="002B681E">
        <w:t xml:space="preserve"> </w:t>
      </w:r>
      <w:r>
        <w:t>may not reflect a</w:t>
      </w:r>
      <w:r w:rsidR="002B681E">
        <w:t xml:space="preserve"> balanced representation of the experiences of all people of diverse gender identity and sexuality</w:t>
      </w:r>
      <w:r>
        <w:t xml:space="preserve">; and </w:t>
      </w:r>
      <w:r w:rsidR="00110751">
        <w:t xml:space="preserve">the </w:t>
      </w:r>
      <w:r w:rsidR="00FF1BBF">
        <w:t>results which emerge from</w:t>
      </w:r>
      <w:r w:rsidR="00110751">
        <w:t xml:space="preserve"> </w:t>
      </w:r>
      <w:r>
        <w:t>one study may not necessarily be comparable with</w:t>
      </w:r>
      <w:r w:rsidR="00110751">
        <w:t xml:space="preserve"> those of</w:t>
      </w:r>
      <w:r>
        <w:t xml:space="preserve"> another</w:t>
      </w:r>
      <w:r w:rsidR="002B681E">
        <w:t>.</w:t>
      </w:r>
    </w:p>
    <w:p w14:paraId="31E66214" w14:textId="1CD7FF5B" w:rsidR="000E26F1" w:rsidRPr="000E26F1" w:rsidRDefault="000E26F1" w:rsidP="000F756B">
      <w:pPr>
        <w:spacing w:before="60" w:after="40" w:line="240" w:lineRule="auto"/>
        <w:jc w:val="both"/>
        <w:rPr>
          <w:i/>
          <w:iCs/>
        </w:rPr>
      </w:pPr>
      <w:r w:rsidRPr="000E26F1">
        <w:rPr>
          <w:i/>
          <w:iCs/>
        </w:rPr>
        <w:t>Prevalence estimates</w:t>
      </w:r>
    </w:p>
    <w:p w14:paraId="696461A2" w14:textId="5E85FCB6" w:rsidR="00B44146" w:rsidRDefault="00B44146" w:rsidP="007821BF">
      <w:pPr>
        <w:spacing w:after="0" w:line="288" w:lineRule="auto"/>
        <w:jc w:val="both"/>
      </w:pPr>
      <w:r>
        <w:t>However, weighing the balance of these findings</w:t>
      </w:r>
      <w:r w:rsidR="00760513">
        <w:t xml:space="preserve"> with due caution</w:t>
      </w:r>
      <w:r>
        <w:t xml:space="preserve">, many </w:t>
      </w:r>
      <w:r w:rsidR="008A5373">
        <w:t xml:space="preserve">researchers and </w:t>
      </w:r>
      <w:r>
        <w:t xml:space="preserve">commentators conclude that the proportion of LGBTI people who have experienced intimate partner violence or abuse is similar – </w:t>
      </w:r>
      <w:r w:rsidR="000F756B">
        <w:t>or higher</w:t>
      </w:r>
      <w:r>
        <w:t xml:space="preserve"> among some segments of the </w:t>
      </w:r>
      <w:r w:rsidR="000F756B">
        <w:t xml:space="preserve">LGBTI </w:t>
      </w:r>
      <w:r>
        <w:t>community</w:t>
      </w:r>
      <w:r w:rsidR="000F756B">
        <w:t xml:space="preserve"> </w:t>
      </w:r>
      <w:r>
        <w:t xml:space="preserve">– </w:t>
      </w:r>
      <w:r w:rsidR="00110751">
        <w:t xml:space="preserve">to </w:t>
      </w:r>
      <w:r>
        <w:t xml:space="preserve">that reported among heterosexual women (Fairchild 2020; </w:t>
      </w:r>
      <w:r w:rsidR="00D973C4">
        <w:t>Witoslawski, 2020</w:t>
      </w:r>
      <w:r>
        <w:t xml:space="preserve">; </w:t>
      </w:r>
      <w:r w:rsidR="00C1111F">
        <w:t>National Coalition Against Domestic Violence, undated</w:t>
      </w:r>
      <w:r>
        <w:t xml:space="preserve">; </w:t>
      </w:r>
      <w:r w:rsidR="00BF57B7">
        <w:t>Rolle et al, 2018</w:t>
      </w:r>
      <w:r>
        <w:t xml:space="preserve">; </w:t>
      </w:r>
      <w:r w:rsidR="00C1111F">
        <w:t>Toesland, 2020</w:t>
      </w:r>
      <w:r w:rsidR="00BF57B7">
        <w:t>; O’Halloran, undated</w:t>
      </w:r>
      <w:r w:rsidR="00A4741F">
        <w:t>; Halpern, 2004</w:t>
      </w:r>
      <w:r>
        <w:t>).</w:t>
      </w:r>
    </w:p>
    <w:p w14:paraId="0A580456" w14:textId="79D92643" w:rsidR="00F12387" w:rsidRDefault="00810D05" w:rsidP="007821BF">
      <w:pPr>
        <w:spacing w:after="0" w:line="288" w:lineRule="auto"/>
        <w:jc w:val="both"/>
      </w:pPr>
      <w:r>
        <w:t>R</w:t>
      </w:r>
      <w:r w:rsidR="005171FB">
        <w:t>esea</w:t>
      </w:r>
      <w:r w:rsidR="00070D68">
        <w:t>r</w:t>
      </w:r>
      <w:r w:rsidR="005171FB">
        <w:t xml:space="preserve">ch conducted by the </w:t>
      </w:r>
      <w:r w:rsidR="000E26F1">
        <w:t>Australian</w:t>
      </w:r>
      <w:r w:rsidR="005171FB">
        <w:t xml:space="preserve"> Research </w:t>
      </w:r>
      <w:r w:rsidR="000E26F1">
        <w:t>Center</w:t>
      </w:r>
      <w:r w:rsidR="005171FB">
        <w:t xml:space="preserve"> for Health and Sexuality </w:t>
      </w:r>
      <w:r w:rsidR="00070D68">
        <w:t>a</w:t>
      </w:r>
      <w:r w:rsidR="005171FB">
        <w:t xml:space="preserve">mong 5,476 Australians, found that 41% of </w:t>
      </w:r>
      <w:r w:rsidR="00FF1BBF">
        <w:t xml:space="preserve">LGBTI </w:t>
      </w:r>
      <w:r w:rsidR="00106B93">
        <w:t>females</w:t>
      </w:r>
      <w:r w:rsidR="005171FB">
        <w:t xml:space="preserve"> and 28% of males had experienced intimat</w:t>
      </w:r>
      <w:r w:rsidR="00070D68">
        <w:t>e</w:t>
      </w:r>
      <w:r w:rsidR="005171FB">
        <w:t xml:space="preserve"> partner violence in their lifetimes </w:t>
      </w:r>
      <w:r>
        <w:t xml:space="preserve">(Campo and Tayton, 2015) </w:t>
      </w:r>
      <w:r w:rsidR="005171FB">
        <w:t xml:space="preserve">– </w:t>
      </w:r>
      <w:r w:rsidR="00F12387">
        <w:t xml:space="preserve">a result </w:t>
      </w:r>
      <w:r w:rsidR="005171FB">
        <w:t>similar to a figure of 35% recorded among a US sample (</w:t>
      </w:r>
      <w:r w:rsidR="00733FE7">
        <w:t>Jeffries and Ball, 2008</w:t>
      </w:r>
      <w:r w:rsidR="005171FB">
        <w:t xml:space="preserve">). </w:t>
      </w:r>
      <w:r w:rsidR="00760513">
        <w:t>It was not made clear though, whether the violence was inflicted by a partner of the same, or opposite, sex.</w:t>
      </w:r>
      <w:r w:rsidR="002356AE">
        <w:t xml:space="preserve"> </w:t>
      </w:r>
    </w:p>
    <w:p w14:paraId="3EEC4891" w14:textId="43FF3B43" w:rsidR="004A70BD" w:rsidRPr="004A70BD" w:rsidRDefault="004A70BD" w:rsidP="004A70BD">
      <w:pPr>
        <w:spacing w:after="0" w:line="288" w:lineRule="auto"/>
        <w:jc w:val="both"/>
      </w:pPr>
      <w:r w:rsidRPr="004A70BD">
        <w:t xml:space="preserve">The 2019 ‘Private Lives’ survey of nearly 7,000 Australian adults found that </w:t>
      </w:r>
      <w:r>
        <w:t xml:space="preserve">61% of respondents </w:t>
      </w:r>
      <w:r w:rsidRPr="0069264E">
        <w:t>had experienced abuse by an intimate partner at some time in their lives, including emotional abuse (48%), verbal abuse (42%)</w:t>
      </w:r>
      <w:r>
        <w:t>, social isolation (27%)</w:t>
      </w:r>
      <w:r w:rsidRPr="0069264E">
        <w:t xml:space="preserve"> and physical violence (25%)</w:t>
      </w:r>
      <w:r>
        <w:t xml:space="preserve">. </w:t>
      </w:r>
      <w:r w:rsidRPr="0069264E">
        <w:t xml:space="preserve">Asked about the gender of the perpetrator </w:t>
      </w:r>
      <w:r w:rsidRPr="0069264E">
        <w:lastRenderedPageBreak/>
        <w:t xml:space="preserve">in their most recent experience of intimate partner violence, 57% </w:t>
      </w:r>
      <w:r>
        <w:t xml:space="preserve">of respondents </w:t>
      </w:r>
      <w:r w:rsidRPr="0069264E">
        <w:t xml:space="preserve">identified a ‘cisgender man’, 34% a ‘cisgender woman’, 3.4% </w:t>
      </w:r>
      <w:r>
        <w:t xml:space="preserve">a </w:t>
      </w:r>
      <w:r w:rsidRPr="0069264E">
        <w:t>‘non-binary’</w:t>
      </w:r>
      <w:r>
        <w:t xml:space="preserve"> individual</w:t>
      </w:r>
      <w:r w:rsidRPr="0069264E">
        <w:t xml:space="preserve">, 2% </w:t>
      </w:r>
      <w:r>
        <w:t xml:space="preserve">a </w:t>
      </w:r>
      <w:r w:rsidRPr="0069264E">
        <w:t xml:space="preserve">‘trans woman’ and 2% </w:t>
      </w:r>
      <w:r>
        <w:t xml:space="preserve">a </w:t>
      </w:r>
      <w:r w:rsidRPr="0069264E">
        <w:t>trans man.</w:t>
      </w:r>
      <w:r>
        <w:t xml:space="preserve"> </w:t>
      </w:r>
      <w:r w:rsidRPr="0069264E">
        <w:t>Two fifths of those who had experienced intimate partner violence</w:t>
      </w:r>
      <w:r>
        <w:t>,</w:t>
      </w:r>
      <w:r w:rsidRPr="0069264E">
        <w:t xml:space="preserve"> expressed the view that the abuse was at least partly due to their sexual orientation, gender identity/expression or intersex status</w:t>
      </w:r>
      <w:r w:rsidR="00551C0F">
        <w:t xml:space="preserve"> (Hill et al, 2020).</w:t>
      </w:r>
    </w:p>
    <w:p w14:paraId="09A8B759" w14:textId="77777777" w:rsidR="004A70BD" w:rsidRDefault="004A70BD" w:rsidP="004A70BD">
      <w:pPr>
        <w:spacing w:after="0" w:line="288" w:lineRule="auto"/>
        <w:jc w:val="both"/>
      </w:pPr>
      <w:r w:rsidRPr="0069264E">
        <w:t xml:space="preserve">The proportion of respondents who reported having experienced </w:t>
      </w:r>
      <w:r w:rsidRPr="004A70BD">
        <w:t>physical</w:t>
      </w:r>
      <w:r w:rsidRPr="0069264E">
        <w:t xml:space="preserve"> intimate partner violence, </w:t>
      </w:r>
      <w:r>
        <w:t xml:space="preserve">generally </w:t>
      </w:r>
      <w:r w:rsidRPr="0069264E">
        <w:t xml:space="preserve">differed little </w:t>
      </w:r>
      <w:r>
        <w:t>with</w:t>
      </w:r>
      <w:r w:rsidRPr="0069264E">
        <w:t xml:space="preserve"> gender identity, </w:t>
      </w:r>
      <w:r>
        <w:t>with percentages ranging from 20 to 30% among all categories (accompanying diagram)</w:t>
      </w:r>
      <w:r w:rsidRPr="0069264E">
        <w:t xml:space="preserve">. </w:t>
      </w:r>
    </w:p>
    <w:p w14:paraId="288E8E8D" w14:textId="77777777" w:rsidR="004A70BD" w:rsidRPr="0069264E" w:rsidRDefault="004A70BD" w:rsidP="004A70BD">
      <w:pPr>
        <w:spacing w:after="0" w:line="288" w:lineRule="auto"/>
        <w:jc w:val="both"/>
      </w:pPr>
      <w:r w:rsidRPr="0069264E">
        <w:rPr>
          <w:noProof/>
        </w:rPr>
        <w:drawing>
          <wp:anchor distT="0" distB="0" distL="114300" distR="114300" simplePos="0" relativeHeight="251663360" behindDoc="0" locked="0" layoutInCell="1" allowOverlap="1" wp14:anchorId="6B5D9FCE" wp14:editId="084CCE65">
            <wp:simplePos x="0" y="0"/>
            <wp:positionH relativeFrom="margin">
              <wp:align>left</wp:align>
            </wp:positionH>
            <wp:positionV relativeFrom="paragraph">
              <wp:posOffset>5397</wp:posOffset>
            </wp:positionV>
            <wp:extent cx="3257550" cy="2184400"/>
            <wp:effectExtent l="0" t="0" r="0" b="635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59644" cy="2185957"/>
                    </a:xfrm>
                    <a:prstGeom prst="rect">
                      <a:avLst/>
                    </a:prstGeom>
                    <a:noFill/>
                  </pic:spPr>
                </pic:pic>
              </a:graphicData>
            </a:graphic>
            <wp14:sizeRelH relativeFrom="page">
              <wp14:pctWidth>0</wp14:pctWidth>
            </wp14:sizeRelH>
            <wp14:sizeRelV relativeFrom="page">
              <wp14:pctHeight>0</wp14:pctHeight>
            </wp14:sizeRelV>
          </wp:anchor>
        </w:drawing>
      </w:r>
    </w:p>
    <w:p w14:paraId="7FFF7A0E" w14:textId="77777777" w:rsidR="004A70BD" w:rsidRPr="0069264E" w:rsidRDefault="004A70BD" w:rsidP="004A70BD">
      <w:pPr>
        <w:spacing w:after="0" w:line="288" w:lineRule="auto"/>
        <w:jc w:val="both"/>
      </w:pPr>
    </w:p>
    <w:p w14:paraId="06FA6C31" w14:textId="77777777" w:rsidR="004A70BD" w:rsidRPr="007726DA" w:rsidRDefault="004A70BD" w:rsidP="004A70BD">
      <w:pPr>
        <w:spacing w:after="0" w:line="240" w:lineRule="auto"/>
        <w:jc w:val="both"/>
        <w:rPr>
          <w:color w:val="7F7F7F" w:themeColor="text1" w:themeTint="80"/>
          <w:sz w:val="20"/>
          <w:szCs w:val="20"/>
        </w:rPr>
      </w:pPr>
      <w:r w:rsidRPr="007726DA">
        <w:rPr>
          <w:color w:val="7F7F7F" w:themeColor="text1" w:themeTint="80"/>
          <w:sz w:val="20"/>
          <w:szCs w:val="20"/>
        </w:rPr>
        <w:t xml:space="preserve">Prevalence of lifetime experience of </w:t>
      </w:r>
      <w:r w:rsidRPr="00C926DE">
        <w:rPr>
          <w:i/>
          <w:iCs/>
          <w:color w:val="7F7F7F" w:themeColor="text1" w:themeTint="80"/>
          <w:sz w:val="20"/>
          <w:szCs w:val="20"/>
        </w:rPr>
        <w:t>physical</w:t>
      </w:r>
      <w:r w:rsidRPr="007726DA">
        <w:rPr>
          <w:color w:val="7F7F7F" w:themeColor="text1" w:themeTint="80"/>
          <w:sz w:val="20"/>
          <w:szCs w:val="20"/>
        </w:rPr>
        <w:t xml:space="preserve"> intimate partner violence, by gender</w:t>
      </w:r>
    </w:p>
    <w:p w14:paraId="50154614" w14:textId="77777777" w:rsidR="004A70BD" w:rsidRPr="0069264E" w:rsidRDefault="004A70BD" w:rsidP="004A70BD">
      <w:pPr>
        <w:spacing w:after="0" w:line="288" w:lineRule="auto"/>
        <w:jc w:val="both"/>
      </w:pPr>
    </w:p>
    <w:p w14:paraId="5B2E4288" w14:textId="77777777" w:rsidR="004A70BD" w:rsidRDefault="004A70BD" w:rsidP="004A70BD">
      <w:pPr>
        <w:spacing w:after="0" w:line="288" w:lineRule="auto"/>
        <w:jc w:val="both"/>
      </w:pPr>
    </w:p>
    <w:p w14:paraId="18BB505F" w14:textId="77777777" w:rsidR="004A70BD" w:rsidRDefault="004A70BD" w:rsidP="004A70BD">
      <w:pPr>
        <w:spacing w:after="0" w:line="288" w:lineRule="auto"/>
        <w:jc w:val="both"/>
      </w:pPr>
    </w:p>
    <w:p w14:paraId="650714BE" w14:textId="77777777" w:rsidR="004A70BD" w:rsidRPr="0069264E" w:rsidRDefault="004A70BD" w:rsidP="004A70BD">
      <w:pPr>
        <w:spacing w:after="0" w:line="288" w:lineRule="auto"/>
        <w:jc w:val="both"/>
      </w:pPr>
    </w:p>
    <w:p w14:paraId="5BB39AC2" w14:textId="77777777" w:rsidR="004A70BD" w:rsidRDefault="004A70BD" w:rsidP="004A70BD">
      <w:pPr>
        <w:spacing w:after="0" w:line="288" w:lineRule="auto"/>
        <w:jc w:val="both"/>
      </w:pPr>
    </w:p>
    <w:p w14:paraId="1444E73C" w14:textId="77777777" w:rsidR="004A70BD" w:rsidRDefault="004A70BD" w:rsidP="004A70BD">
      <w:pPr>
        <w:spacing w:after="0" w:line="288" w:lineRule="auto"/>
        <w:jc w:val="both"/>
      </w:pPr>
    </w:p>
    <w:p w14:paraId="3267ABB6" w14:textId="77777777" w:rsidR="004A70BD" w:rsidRDefault="004A70BD" w:rsidP="004A70BD">
      <w:pPr>
        <w:spacing w:after="0" w:line="288" w:lineRule="auto"/>
        <w:jc w:val="both"/>
      </w:pPr>
    </w:p>
    <w:p w14:paraId="4E332076" w14:textId="77777777" w:rsidR="004A70BD" w:rsidRDefault="004A70BD" w:rsidP="004A70BD">
      <w:pPr>
        <w:spacing w:after="0" w:line="288" w:lineRule="auto"/>
        <w:jc w:val="both"/>
      </w:pPr>
    </w:p>
    <w:p w14:paraId="5DE8E089" w14:textId="0596A880" w:rsidR="004A70BD" w:rsidRPr="004A70BD" w:rsidRDefault="004A70BD" w:rsidP="004A70BD">
      <w:pPr>
        <w:spacing w:after="0" w:line="288" w:lineRule="auto"/>
        <w:jc w:val="both"/>
      </w:pPr>
      <w:r w:rsidRPr="0069264E">
        <w:rPr>
          <w:noProof/>
        </w:rPr>
        <w:drawing>
          <wp:anchor distT="0" distB="0" distL="114300" distR="114300" simplePos="0" relativeHeight="251664384" behindDoc="0" locked="0" layoutInCell="1" allowOverlap="1" wp14:anchorId="03C48798" wp14:editId="6E76E2DF">
            <wp:simplePos x="0" y="0"/>
            <wp:positionH relativeFrom="margin">
              <wp:align>right</wp:align>
            </wp:positionH>
            <wp:positionV relativeFrom="paragraph">
              <wp:posOffset>48260</wp:posOffset>
            </wp:positionV>
            <wp:extent cx="3238500" cy="2171700"/>
            <wp:effectExtent l="0" t="0" r="0"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38500" cy="2171700"/>
                    </a:xfrm>
                    <a:prstGeom prst="rect">
                      <a:avLst/>
                    </a:prstGeom>
                    <a:noFill/>
                  </pic:spPr>
                </pic:pic>
              </a:graphicData>
            </a:graphic>
            <wp14:sizeRelH relativeFrom="page">
              <wp14:pctWidth>0</wp14:pctWidth>
            </wp14:sizeRelH>
            <wp14:sizeRelV relativeFrom="page">
              <wp14:pctHeight>0</wp14:pctHeight>
            </wp14:sizeRelV>
          </wp:anchor>
        </w:drawing>
      </w:r>
      <w:r w:rsidRPr="0069264E">
        <w:t xml:space="preserve">The prevalence of the experience of </w:t>
      </w:r>
      <w:r w:rsidRPr="004A70BD">
        <w:t>sexual</w:t>
      </w:r>
      <w:r w:rsidRPr="0069264E">
        <w:t xml:space="preserve"> abuse varied more widely </w:t>
      </w:r>
      <w:r>
        <w:t>with gender</w:t>
      </w:r>
      <w:r w:rsidRPr="0069264E">
        <w:t>,</w:t>
      </w:r>
      <w:r>
        <w:t xml:space="preserve"> declining</w:t>
      </w:r>
      <w:r w:rsidRPr="0069264E">
        <w:t xml:space="preserve"> from 36% among non-binary individuals, 31% among trans men, 17% among trans women, 25% among cisgender women and 11% among cisgender men.</w:t>
      </w:r>
    </w:p>
    <w:p w14:paraId="49FAD667" w14:textId="77777777" w:rsidR="004A70BD" w:rsidRDefault="004A70BD" w:rsidP="004A70BD">
      <w:pPr>
        <w:spacing w:after="0" w:line="288" w:lineRule="auto"/>
        <w:jc w:val="both"/>
        <w:rPr>
          <w:sz w:val="6"/>
          <w:szCs w:val="6"/>
        </w:rPr>
      </w:pPr>
    </w:p>
    <w:p w14:paraId="36FFFB7E" w14:textId="77777777" w:rsidR="004A70BD" w:rsidRPr="00B30FE8" w:rsidRDefault="004A70BD" w:rsidP="004A70BD">
      <w:pPr>
        <w:spacing w:after="0" w:line="288" w:lineRule="auto"/>
        <w:jc w:val="both"/>
        <w:rPr>
          <w:sz w:val="6"/>
          <w:szCs w:val="6"/>
        </w:rPr>
      </w:pPr>
    </w:p>
    <w:p w14:paraId="0E47C420" w14:textId="6C494E3A" w:rsidR="004A70BD" w:rsidRPr="004A70BD" w:rsidRDefault="004A70BD" w:rsidP="004A70BD">
      <w:pPr>
        <w:spacing w:after="0" w:line="240" w:lineRule="auto"/>
        <w:jc w:val="both"/>
        <w:rPr>
          <w:color w:val="7F7F7F" w:themeColor="text1" w:themeTint="80"/>
          <w:sz w:val="20"/>
          <w:szCs w:val="20"/>
        </w:rPr>
      </w:pPr>
      <w:r w:rsidRPr="007726DA">
        <w:rPr>
          <w:color w:val="7F7F7F" w:themeColor="text1" w:themeTint="80"/>
          <w:sz w:val="20"/>
          <w:szCs w:val="20"/>
        </w:rPr>
        <w:t xml:space="preserve">Prevalence of lifetime experience of </w:t>
      </w:r>
      <w:r w:rsidRPr="00FA654E">
        <w:rPr>
          <w:i/>
          <w:iCs/>
          <w:color w:val="7F7F7F" w:themeColor="text1" w:themeTint="80"/>
          <w:sz w:val="20"/>
          <w:szCs w:val="20"/>
        </w:rPr>
        <w:t>sexual</w:t>
      </w:r>
      <w:r w:rsidRPr="007726DA">
        <w:rPr>
          <w:color w:val="7F7F7F" w:themeColor="text1" w:themeTint="80"/>
          <w:sz w:val="20"/>
          <w:szCs w:val="20"/>
        </w:rPr>
        <w:t xml:space="preserve"> intimate partner violence, by </w:t>
      </w:r>
      <w:r>
        <w:rPr>
          <w:color w:val="7F7F7F" w:themeColor="text1" w:themeTint="80"/>
          <w:sz w:val="20"/>
          <w:szCs w:val="20"/>
        </w:rPr>
        <w:t>gender</w:t>
      </w:r>
    </w:p>
    <w:p w14:paraId="0D4044F5" w14:textId="02FFFD7B" w:rsidR="004A70BD" w:rsidRDefault="004A70BD" w:rsidP="004A70BD">
      <w:pPr>
        <w:spacing w:after="0" w:line="288" w:lineRule="auto"/>
        <w:jc w:val="both"/>
        <w:rPr>
          <w:sz w:val="6"/>
          <w:szCs w:val="6"/>
        </w:rPr>
      </w:pPr>
    </w:p>
    <w:p w14:paraId="31ABFC40" w14:textId="2DF8EF4E" w:rsidR="004A70BD" w:rsidRDefault="004A70BD" w:rsidP="004A70BD">
      <w:pPr>
        <w:spacing w:after="0" w:line="288" w:lineRule="auto"/>
        <w:jc w:val="both"/>
        <w:rPr>
          <w:sz w:val="6"/>
          <w:szCs w:val="6"/>
        </w:rPr>
      </w:pPr>
    </w:p>
    <w:p w14:paraId="42015BD4" w14:textId="492C9B59" w:rsidR="004A70BD" w:rsidRDefault="004A70BD" w:rsidP="004A70BD">
      <w:pPr>
        <w:spacing w:after="0" w:line="288" w:lineRule="auto"/>
        <w:jc w:val="both"/>
        <w:rPr>
          <w:sz w:val="6"/>
          <w:szCs w:val="6"/>
        </w:rPr>
      </w:pPr>
    </w:p>
    <w:p w14:paraId="4F507C2C" w14:textId="7B78B292" w:rsidR="004A70BD" w:rsidRDefault="004A70BD" w:rsidP="004A70BD">
      <w:pPr>
        <w:spacing w:after="0" w:line="288" w:lineRule="auto"/>
        <w:jc w:val="both"/>
        <w:rPr>
          <w:sz w:val="6"/>
          <w:szCs w:val="6"/>
        </w:rPr>
      </w:pPr>
    </w:p>
    <w:p w14:paraId="60678B04" w14:textId="7F4CFB94" w:rsidR="004A70BD" w:rsidRDefault="004A70BD" w:rsidP="004A70BD">
      <w:pPr>
        <w:spacing w:after="0" w:line="288" w:lineRule="auto"/>
        <w:jc w:val="both"/>
        <w:rPr>
          <w:sz w:val="6"/>
          <w:szCs w:val="6"/>
        </w:rPr>
      </w:pPr>
    </w:p>
    <w:p w14:paraId="475C68E2" w14:textId="3F30735A" w:rsidR="004A70BD" w:rsidRDefault="004A70BD" w:rsidP="004A70BD">
      <w:pPr>
        <w:spacing w:after="0" w:line="288" w:lineRule="auto"/>
        <w:jc w:val="both"/>
        <w:rPr>
          <w:sz w:val="6"/>
          <w:szCs w:val="6"/>
        </w:rPr>
      </w:pPr>
    </w:p>
    <w:p w14:paraId="40C627F3" w14:textId="0CF77078" w:rsidR="004A70BD" w:rsidRDefault="004A70BD" w:rsidP="004A70BD">
      <w:pPr>
        <w:spacing w:after="0" w:line="288" w:lineRule="auto"/>
        <w:jc w:val="both"/>
        <w:rPr>
          <w:sz w:val="6"/>
          <w:szCs w:val="6"/>
        </w:rPr>
      </w:pPr>
    </w:p>
    <w:p w14:paraId="0BA2613F" w14:textId="77777777" w:rsidR="004A70BD" w:rsidRDefault="004A70BD" w:rsidP="004A70BD">
      <w:pPr>
        <w:spacing w:after="0" w:line="288" w:lineRule="auto"/>
        <w:jc w:val="both"/>
        <w:rPr>
          <w:sz w:val="6"/>
          <w:szCs w:val="6"/>
        </w:rPr>
      </w:pPr>
    </w:p>
    <w:p w14:paraId="0CBF56CC" w14:textId="23718F5A" w:rsidR="004A70BD" w:rsidRDefault="004A70BD" w:rsidP="004A70BD">
      <w:pPr>
        <w:spacing w:after="0" w:line="288" w:lineRule="auto"/>
        <w:jc w:val="both"/>
        <w:rPr>
          <w:sz w:val="6"/>
          <w:szCs w:val="6"/>
        </w:rPr>
      </w:pPr>
    </w:p>
    <w:p w14:paraId="56952EDC" w14:textId="34338C7C" w:rsidR="004A70BD" w:rsidRDefault="004A70BD" w:rsidP="004A70BD">
      <w:pPr>
        <w:spacing w:after="0" w:line="288" w:lineRule="auto"/>
        <w:jc w:val="both"/>
        <w:rPr>
          <w:sz w:val="6"/>
          <w:szCs w:val="6"/>
        </w:rPr>
      </w:pPr>
    </w:p>
    <w:p w14:paraId="38A12D5D" w14:textId="77777777" w:rsidR="004A70BD" w:rsidRPr="00B30FE8" w:rsidRDefault="004A70BD" w:rsidP="004A70BD">
      <w:pPr>
        <w:spacing w:after="0" w:line="288" w:lineRule="auto"/>
        <w:jc w:val="both"/>
        <w:rPr>
          <w:sz w:val="6"/>
          <w:szCs w:val="6"/>
        </w:rPr>
      </w:pPr>
    </w:p>
    <w:p w14:paraId="710A74F4" w14:textId="77777777" w:rsidR="004A70BD" w:rsidRPr="00B30FE8" w:rsidRDefault="004A70BD" w:rsidP="004A70BD">
      <w:pPr>
        <w:spacing w:after="0" w:line="288" w:lineRule="auto"/>
        <w:jc w:val="both"/>
        <w:rPr>
          <w:sz w:val="6"/>
          <w:szCs w:val="6"/>
        </w:rPr>
      </w:pPr>
    </w:p>
    <w:p w14:paraId="07CB83F8" w14:textId="77777777" w:rsidR="00401138" w:rsidRDefault="00401138" w:rsidP="004A70BD">
      <w:pPr>
        <w:spacing w:after="0" w:line="288" w:lineRule="auto"/>
        <w:jc w:val="both"/>
        <w:rPr>
          <w:i/>
          <w:iCs/>
          <w:color w:val="1F3864" w:themeColor="accent1" w:themeShade="80"/>
        </w:rPr>
      </w:pPr>
    </w:p>
    <w:p w14:paraId="724F452E" w14:textId="7B0B9E79" w:rsidR="004A70BD" w:rsidRPr="0069264E" w:rsidRDefault="004A70BD" w:rsidP="004A70BD">
      <w:pPr>
        <w:spacing w:after="0" w:line="288" w:lineRule="auto"/>
        <w:jc w:val="both"/>
      </w:pPr>
      <w:r w:rsidRPr="0069264E">
        <w:t xml:space="preserve">The proportion of </w:t>
      </w:r>
      <w:r>
        <w:t>respondents</w:t>
      </w:r>
      <w:r w:rsidRPr="0069264E">
        <w:t xml:space="preserve"> who had experienced </w:t>
      </w:r>
      <w:r w:rsidRPr="004A70BD">
        <w:t>physical</w:t>
      </w:r>
      <w:r w:rsidRPr="0069264E">
        <w:t xml:space="preserve"> violence by an intimate partner </w:t>
      </w:r>
      <w:r>
        <w:t>differed markedly with</w:t>
      </w:r>
      <w:r w:rsidRPr="0069264E">
        <w:t xml:space="preserve"> sexual orientation</w:t>
      </w:r>
      <w:r>
        <w:t xml:space="preserve"> (below), with highest rates recorded among those who reported that they were pansexual, queer or lesbian</w:t>
      </w:r>
      <w:r w:rsidRPr="0069264E">
        <w:t xml:space="preserve">. </w:t>
      </w:r>
    </w:p>
    <w:p w14:paraId="661DEAAC" w14:textId="59DDE077" w:rsidR="004A70BD" w:rsidRDefault="004A70BD" w:rsidP="004A70BD">
      <w:pPr>
        <w:spacing w:after="0" w:line="288" w:lineRule="auto"/>
        <w:jc w:val="both"/>
      </w:pPr>
      <w:r w:rsidRPr="0069264E">
        <w:rPr>
          <w:noProof/>
        </w:rPr>
        <w:drawing>
          <wp:anchor distT="0" distB="0" distL="114300" distR="114300" simplePos="0" relativeHeight="251665408" behindDoc="0" locked="0" layoutInCell="1" allowOverlap="1" wp14:anchorId="02DD724A" wp14:editId="2FF91DFB">
            <wp:simplePos x="0" y="0"/>
            <wp:positionH relativeFrom="margin">
              <wp:align>left</wp:align>
            </wp:positionH>
            <wp:positionV relativeFrom="paragraph">
              <wp:posOffset>13970</wp:posOffset>
            </wp:positionV>
            <wp:extent cx="3203575" cy="2152650"/>
            <wp:effectExtent l="0" t="0" r="0"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203575" cy="2152650"/>
                    </a:xfrm>
                    <a:prstGeom prst="rect">
                      <a:avLst/>
                    </a:prstGeom>
                    <a:noFill/>
                  </pic:spPr>
                </pic:pic>
              </a:graphicData>
            </a:graphic>
            <wp14:sizeRelH relativeFrom="page">
              <wp14:pctWidth>0</wp14:pctWidth>
            </wp14:sizeRelH>
            <wp14:sizeRelV relativeFrom="page">
              <wp14:pctHeight>0</wp14:pctHeight>
            </wp14:sizeRelV>
          </wp:anchor>
        </w:drawing>
      </w:r>
    </w:p>
    <w:p w14:paraId="378DEA4E" w14:textId="77777777" w:rsidR="004A70BD" w:rsidRPr="0069264E" w:rsidRDefault="004A70BD" w:rsidP="004A70BD">
      <w:pPr>
        <w:spacing w:after="0" w:line="288" w:lineRule="auto"/>
        <w:jc w:val="both"/>
      </w:pPr>
    </w:p>
    <w:p w14:paraId="24C0B728" w14:textId="5BE8C6F2" w:rsidR="004A70BD" w:rsidRPr="007726DA" w:rsidRDefault="004A70BD" w:rsidP="004A70BD">
      <w:pPr>
        <w:spacing w:after="0" w:line="240" w:lineRule="auto"/>
        <w:jc w:val="both"/>
        <w:rPr>
          <w:color w:val="7F7F7F" w:themeColor="text1" w:themeTint="80"/>
          <w:sz w:val="20"/>
          <w:szCs w:val="20"/>
        </w:rPr>
      </w:pPr>
      <w:r w:rsidRPr="007726DA">
        <w:rPr>
          <w:color w:val="7F7F7F" w:themeColor="text1" w:themeTint="80"/>
          <w:sz w:val="20"/>
          <w:szCs w:val="20"/>
        </w:rPr>
        <w:t xml:space="preserve">Prevalence of lifetime experience of </w:t>
      </w:r>
      <w:r w:rsidRPr="00B30FE8">
        <w:rPr>
          <w:i/>
          <w:iCs/>
          <w:color w:val="7F7F7F" w:themeColor="text1" w:themeTint="80"/>
          <w:sz w:val="20"/>
          <w:szCs w:val="20"/>
        </w:rPr>
        <w:t>physical</w:t>
      </w:r>
      <w:r w:rsidRPr="007726DA">
        <w:rPr>
          <w:color w:val="7F7F7F" w:themeColor="text1" w:themeTint="80"/>
          <w:sz w:val="20"/>
          <w:szCs w:val="20"/>
        </w:rPr>
        <w:t xml:space="preserve"> intimate partner violence, by sexual orientation</w:t>
      </w:r>
    </w:p>
    <w:p w14:paraId="103F37E0" w14:textId="77777777" w:rsidR="004A70BD" w:rsidRDefault="004A70BD" w:rsidP="004A70BD">
      <w:pPr>
        <w:spacing w:after="0" w:line="288" w:lineRule="auto"/>
        <w:jc w:val="both"/>
        <w:rPr>
          <w:color w:val="7F7F7F" w:themeColor="text1" w:themeTint="80"/>
        </w:rPr>
      </w:pPr>
    </w:p>
    <w:p w14:paraId="644F44A5" w14:textId="77777777" w:rsidR="004A70BD" w:rsidRDefault="004A70BD" w:rsidP="004A70BD">
      <w:pPr>
        <w:spacing w:after="0" w:line="288" w:lineRule="auto"/>
        <w:jc w:val="both"/>
        <w:rPr>
          <w:color w:val="7F7F7F" w:themeColor="text1" w:themeTint="80"/>
        </w:rPr>
      </w:pPr>
    </w:p>
    <w:p w14:paraId="50095797" w14:textId="77777777" w:rsidR="004A70BD" w:rsidRDefault="004A70BD" w:rsidP="004A70BD">
      <w:pPr>
        <w:spacing w:after="0" w:line="288" w:lineRule="auto"/>
        <w:jc w:val="both"/>
        <w:rPr>
          <w:color w:val="7F7F7F" w:themeColor="text1" w:themeTint="80"/>
        </w:rPr>
      </w:pPr>
    </w:p>
    <w:p w14:paraId="11721A0B" w14:textId="77777777" w:rsidR="004A70BD" w:rsidRDefault="004A70BD" w:rsidP="004A70BD">
      <w:pPr>
        <w:spacing w:after="0" w:line="288" w:lineRule="auto"/>
        <w:jc w:val="both"/>
        <w:rPr>
          <w:color w:val="7F7F7F" w:themeColor="text1" w:themeTint="80"/>
        </w:rPr>
      </w:pPr>
    </w:p>
    <w:p w14:paraId="615DD7D5" w14:textId="77777777" w:rsidR="004A70BD" w:rsidRDefault="004A70BD" w:rsidP="004A70BD">
      <w:pPr>
        <w:spacing w:after="0" w:line="288" w:lineRule="auto"/>
        <w:jc w:val="both"/>
        <w:rPr>
          <w:color w:val="7F7F7F" w:themeColor="text1" w:themeTint="80"/>
        </w:rPr>
      </w:pPr>
    </w:p>
    <w:p w14:paraId="703F15A0" w14:textId="77777777" w:rsidR="004A70BD" w:rsidRDefault="004A70BD" w:rsidP="004A70BD">
      <w:pPr>
        <w:spacing w:after="0" w:line="288" w:lineRule="auto"/>
        <w:jc w:val="both"/>
        <w:rPr>
          <w:color w:val="000000" w:themeColor="text1"/>
        </w:rPr>
      </w:pPr>
    </w:p>
    <w:p w14:paraId="548CED2D" w14:textId="77777777" w:rsidR="004A70BD" w:rsidRDefault="004A70BD" w:rsidP="004A70BD">
      <w:pPr>
        <w:spacing w:after="0" w:line="288" w:lineRule="auto"/>
        <w:jc w:val="both"/>
        <w:rPr>
          <w:color w:val="000000" w:themeColor="text1"/>
        </w:rPr>
      </w:pPr>
    </w:p>
    <w:p w14:paraId="192DBDF3" w14:textId="77777777" w:rsidR="004A70BD" w:rsidRDefault="004A70BD" w:rsidP="004A70BD">
      <w:pPr>
        <w:spacing w:after="0" w:line="288" w:lineRule="auto"/>
        <w:jc w:val="both"/>
        <w:rPr>
          <w:color w:val="000000" w:themeColor="text1"/>
        </w:rPr>
      </w:pPr>
    </w:p>
    <w:p w14:paraId="682DFD4A" w14:textId="72DE50FF" w:rsidR="004A70BD" w:rsidRPr="000107B3" w:rsidRDefault="00401138" w:rsidP="004A70BD">
      <w:pPr>
        <w:spacing w:after="0" w:line="288" w:lineRule="auto"/>
        <w:jc w:val="both"/>
        <w:rPr>
          <w:color w:val="7F7F7F" w:themeColor="text1" w:themeTint="80"/>
        </w:rPr>
      </w:pPr>
      <w:r w:rsidRPr="00571A50">
        <w:rPr>
          <w:noProof/>
          <w:color w:val="000000" w:themeColor="text1"/>
        </w:rPr>
        <w:lastRenderedPageBreak/>
        <w:drawing>
          <wp:anchor distT="0" distB="0" distL="114300" distR="114300" simplePos="0" relativeHeight="251666432" behindDoc="0" locked="0" layoutInCell="1" allowOverlap="1" wp14:anchorId="441002B0" wp14:editId="55D638C0">
            <wp:simplePos x="0" y="0"/>
            <wp:positionH relativeFrom="margin">
              <wp:align>right</wp:align>
            </wp:positionH>
            <wp:positionV relativeFrom="paragraph">
              <wp:posOffset>117475</wp:posOffset>
            </wp:positionV>
            <wp:extent cx="3213100" cy="2238375"/>
            <wp:effectExtent l="0" t="0" r="6350" b="9525"/>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213100" cy="2238375"/>
                    </a:xfrm>
                    <a:prstGeom prst="rect">
                      <a:avLst/>
                    </a:prstGeom>
                    <a:noFill/>
                  </pic:spPr>
                </pic:pic>
              </a:graphicData>
            </a:graphic>
            <wp14:sizeRelH relativeFrom="page">
              <wp14:pctWidth>0</wp14:pctWidth>
            </wp14:sizeRelH>
            <wp14:sizeRelV relativeFrom="page">
              <wp14:pctHeight>0</wp14:pctHeight>
            </wp14:sizeRelV>
          </wp:anchor>
        </w:drawing>
      </w:r>
      <w:r w:rsidR="004A70BD" w:rsidRPr="00571A50">
        <w:rPr>
          <w:color w:val="000000" w:themeColor="text1"/>
        </w:rPr>
        <w:t xml:space="preserve">The proportion of respondents who had experienced </w:t>
      </w:r>
      <w:r w:rsidR="004A70BD" w:rsidRPr="006A63CA">
        <w:rPr>
          <w:i/>
          <w:iCs/>
          <w:color w:val="000000" w:themeColor="text1"/>
        </w:rPr>
        <w:t>sexual</w:t>
      </w:r>
      <w:r w:rsidR="004A70BD" w:rsidRPr="00571A50">
        <w:rPr>
          <w:color w:val="000000" w:themeColor="text1"/>
        </w:rPr>
        <w:t xml:space="preserve"> intimate partner violence was highest among pansexual</w:t>
      </w:r>
      <w:r w:rsidR="004A70BD">
        <w:rPr>
          <w:color w:val="000000" w:themeColor="text1"/>
        </w:rPr>
        <w:t xml:space="preserve"> and</w:t>
      </w:r>
      <w:r w:rsidR="004A70BD" w:rsidRPr="00571A50">
        <w:rPr>
          <w:color w:val="000000" w:themeColor="text1"/>
        </w:rPr>
        <w:t xml:space="preserve"> queer individuals.</w:t>
      </w:r>
    </w:p>
    <w:p w14:paraId="475AE3D6" w14:textId="77777777" w:rsidR="004A70BD" w:rsidRDefault="004A70BD" w:rsidP="004A70BD">
      <w:pPr>
        <w:spacing w:after="0" w:line="336" w:lineRule="auto"/>
        <w:jc w:val="both"/>
        <w:rPr>
          <w:sz w:val="10"/>
          <w:szCs w:val="10"/>
        </w:rPr>
      </w:pPr>
    </w:p>
    <w:p w14:paraId="04E36E6C" w14:textId="77777777" w:rsidR="004A70BD" w:rsidRPr="006A63CA" w:rsidRDefault="004A70BD" w:rsidP="004A70BD">
      <w:pPr>
        <w:spacing w:after="0" w:line="336" w:lineRule="auto"/>
        <w:jc w:val="both"/>
        <w:rPr>
          <w:sz w:val="10"/>
          <w:szCs w:val="10"/>
        </w:rPr>
      </w:pPr>
    </w:p>
    <w:p w14:paraId="240FEB5F" w14:textId="77777777" w:rsidR="004A70BD" w:rsidRPr="007726DA" w:rsidRDefault="004A70BD" w:rsidP="004A70BD">
      <w:pPr>
        <w:spacing w:after="0" w:line="240" w:lineRule="auto"/>
        <w:jc w:val="both"/>
        <w:rPr>
          <w:color w:val="7F7F7F" w:themeColor="text1" w:themeTint="80"/>
          <w:sz w:val="20"/>
          <w:szCs w:val="20"/>
        </w:rPr>
      </w:pPr>
      <w:r w:rsidRPr="007726DA">
        <w:rPr>
          <w:color w:val="7F7F7F" w:themeColor="text1" w:themeTint="80"/>
          <w:sz w:val="20"/>
          <w:szCs w:val="20"/>
        </w:rPr>
        <w:t xml:space="preserve">Prevalence of lifetime experience of </w:t>
      </w:r>
      <w:r w:rsidRPr="00571A50">
        <w:rPr>
          <w:i/>
          <w:iCs/>
          <w:color w:val="7F7F7F" w:themeColor="text1" w:themeTint="80"/>
          <w:sz w:val="20"/>
          <w:szCs w:val="20"/>
        </w:rPr>
        <w:t>sexual</w:t>
      </w:r>
      <w:r w:rsidRPr="007726DA">
        <w:rPr>
          <w:color w:val="7F7F7F" w:themeColor="text1" w:themeTint="80"/>
          <w:sz w:val="20"/>
          <w:szCs w:val="20"/>
        </w:rPr>
        <w:t xml:space="preserve"> intimate partner violence, by sexual orientation</w:t>
      </w:r>
    </w:p>
    <w:p w14:paraId="11C54F97" w14:textId="77777777" w:rsidR="004A70BD" w:rsidRDefault="004A70BD" w:rsidP="004A70BD">
      <w:pPr>
        <w:spacing w:after="0" w:line="336" w:lineRule="auto"/>
        <w:jc w:val="both"/>
        <w:rPr>
          <w:sz w:val="10"/>
          <w:szCs w:val="10"/>
        </w:rPr>
      </w:pPr>
    </w:p>
    <w:p w14:paraId="598B108C" w14:textId="77777777" w:rsidR="004A70BD" w:rsidRDefault="004A70BD" w:rsidP="004A70BD">
      <w:pPr>
        <w:spacing w:after="0" w:line="336" w:lineRule="auto"/>
        <w:jc w:val="both"/>
        <w:rPr>
          <w:sz w:val="10"/>
          <w:szCs w:val="10"/>
        </w:rPr>
      </w:pPr>
    </w:p>
    <w:p w14:paraId="4706A9A5" w14:textId="77777777" w:rsidR="004A70BD" w:rsidRDefault="004A70BD" w:rsidP="004A70BD">
      <w:pPr>
        <w:spacing w:after="0" w:line="336" w:lineRule="auto"/>
        <w:jc w:val="both"/>
        <w:rPr>
          <w:sz w:val="10"/>
          <w:szCs w:val="10"/>
        </w:rPr>
      </w:pPr>
    </w:p>
    <w:p w14:paraId="65A6F029" w14:textId="77777777" w:rsidR="004A70BD" w:rsidRDefault="004A70BD" w:rsidP="004A70BD">
      <w:pPr>
        <w:spacing w:after="0" w:line="336" w:lineRule="auto"/>
        <w:jc w:val="both"/>
        <w:rPr>
          <w:sz w:val="10"/>
          <w:szCs w:val="10"/>
        </w:rPr>
      </w:pPr>
    </w:p>
    <w:p w14:paraId="365C5030" w14:textId="77777777" w:rsidR="004A70BD" w:rsidRDefault="004A70BD" w:rsidP="004A70BD">
      <w:pPr>
        <w:spacing w:after="0" w:line="336" w:lineRule="auto"/>
        <w:jc w:val="both"/>
        <w:rPr>
          <w:sz w:val="10"/>
          <w:szCs w:val="10"/>
        </w:rPr>
      </w:pPr>
    </w:p>
    <w:p w14:paraId="0E7D228C" w14:textId="164C102B" w:rsidR="004A70BD" w:rsidRDefault="004A70BD" w:rsidP="004A70BD">
      <w:pPr>
        <w:spacing w:after="0" w:line="336" w:lineRule="auto"/>
        <w:jc w:val="both"/>
        <w:rPr>
          <w:sz w:val="10"/>
          <w:szCs w:val="10"/>
        </w:rPr>
      </w:pPr>
    </w:p>
    <w:p w14:paraId="7F15031B" w14:textId="64251991" w:rsidR="00401138" w:rsidRDefault="00401138" w:rsidP="004A70BD">
      <w:pPr>
        <w:spacing w:after="0" w:line="336" w:lineRule="auto"/>
        <w:jc w:val="both"/>
        <w:rPr>
          <w:sz w:val="10"/>
          <w:szCs w:val="10"/>
        </w:rPr>
      </w:pPr>
    </w:p>
    <w:p w14:paraId="7E52CC21" w14:textId="496E02E0" w:rsidR="00401138" w:rsidRDefault="00401138" w:rsidP="004A70BD">
      <w:pPr>
        <w:spacing w:after="0" w:line="336" w:lineRule="auto"/>
        <w:jc w:val="both"/>
        <w:rPr>
          <w:sz w:val="10"/>
          <w:szCs w:val="10"/>
        </w:rPr>
      </w:pPr>
    </w:p>
    <w:p w14:paraId="1C713301" w14:textId="77777777" w:rsidR="00401138" w:rsidRDefault="00401138" w:rsidP="004A70BD">
      <w:pPr>
        <w:spacing w:after="0" w:line="336" w:lineRule="auto"/>
        <w:jc w:val="both"/>
        <w:rPr>
          <w:sz w:val="10"/>
          <w:szCs w:val="10"/>
        </w:rPr>
      </w:pPr>
    </w:p>
    <w:p w14:paraId="55732F59" w14:textId="42350911" w:rsidR="004A70BD" w:rsidRDefault="004A70BD" w:rsidP="007821BF">
      <w:pPr>
        <w:spacing w:after="0" w:line="288" w:lineRule="auto"/>
        <w:jc w:val="both"/>
        <w:rPr>
          <w:sz w:val="10"/>
          <w:szCs w:val="10"/>
        </w:rPr>
      </w:pPr>
    </w:p>
    <w:p w14:paraId="1045CD4F" w14:textId="116EDD02" w:rsidR="004A70BD" w:rsidRPr="004A70BD" w:rsidRDefault="004A70BD" w:rsidP="004A70BD">
      <w:pPr>
        <w:spacing w:before="60" w:after="40" w:line="240" w:lineRule="auto"/>
        <w:jc w:val="both"/>
        <w:rPr>
          <w:i/>
          <w:iCs/>
        </w:rPr>
      </w:pPr>
      <w:r w:rsidRPr="004A70BD">
        <w:rPr>
          <w:i/>
          <w:iCs/>
        </w:rPr>
        <w:t>Comparative estimates</w:t>
      </w:r>
    </w:p>
    <w:p w14:paraId="6B177041" w14:textId="4E97F7F3" w:rsidR="002B681E" w:rsidRDefault="000E26F1" w:rsidP="007821BF">
      <w:pPr>
        <w:spacing w:after="0" w:line="288" w:lineRule="auto"/>
        <w:jc w:val="both"/>
      </w:pPr>
      <w:r>
        <w:t>Other</w:t>
      </w:r>
      <w:r w:rsidR="005171FB">
        <w:t xml:space="preserve"> inquiries </w:t>
      </w:r>
      <w:r w:rsidR="00F37295">
        <w:t>compare</w:t>
      </w:r>
      <w:r w:rsidR="005171FB">
        <w:t xml:space="preserve"> the </w:t>
      </w:r>
      <w:r w:rsidR="00F37295">
        <w:t>rate</w:t>
      </w:r>
      <w:r w:rsidR="005171FB">
        <w:t xml:space="preserve"> of intima</w:t>
      </w:r>
      <w:r w:rsidR="006751DD">
        <w:t>t</w:t>
      </w:r>
      <w:r w:rsidR="005171FB">
        <w:t xml:space="preserve">e partner violence </w:t>
      </w:r>
      <w:r w:rsidR="002B681E">
        <w:t>among</w:t>
      </w:r>
      <w:r w:rsidR="005171FB">
        <w:t xml:space="preserve"> LBGTI people and heterosexual individ</w:t>
      </w:r>
      <w:r w:rsidR="00F12387">
        <w:t>u</w:t>
      </w:r>
      <w:r w:rsidR="005171FB">
        <w:t>als</w:t>
      </w:r>
      <w:r w:rsidR="00F37295">
        <w:t xml:space="preserve">, with results which point to a higher prevalence among LGBTI </w:t>
      </w:r>
      <w:r w:rsidR="00EF1607">
        <w:t>communities</w:t>
      </w:r>
      <w:r w:rsidR="00F12387">
        <w:t xml:space="preserve">. </w:t>
      </w:r>
      <w:r w:rsidR="00BF57B7">
        <w:t>Rolle et al</w:t>
      </w:r>
      <w:r w:rsidR="00043E3F">
        <w:t xml:space="preserve"> (</w:t>
      </w:r>
      <w:r w:rsidR="00BF57B7">
        <w:t>2018</w:t>
      </w:r>
      <w:r w:rsidR="00043E3F">
        <w:t>)</w:t>
      </w:r>
      <w:r w:rsidR="005171FB">
        <w:t xml:space="preserve"> </w:t>
      </w:r>
      <w:r w:rsidR="00F12387">
        <w:t>cites</w:t>
      </w:r>
      <w:r w:rsidR="005171FB">
        <w:t xml:space="preserve"> US research by Brieding et al (2013) which </w:t>
      </w:r>
      <w:r w:rsidR="00F12387">
        <w:t xml:space="preserve">recorded a </w:t>
      </w:r>
      <w:r>
        <w:t>lifetime</w:t>
      </w:r>
      <w:r w:rsidR="005171FB">
        <w:t xml:space="preserve"> experience of </w:t>
      </w:r>
      <w:r w:rsidR="005171FB" w:rsidRPr="00760513">
        <w:rPr>
          <w:i/>
          <w:iCs/>
        </w:rPr>
        <w:t>severe</w:t>
      </w:r>
      <w:r w:rsidR="005171FB">
        <w:t xml:space="preserve"> </w:t>
      </w:r>
      <w:r>
        <w:t>violence</w:t>
      </w:r>
      <w:r w:rsidR="00760513">
        <w:t>,</w:t>
      </w:r>
      <w:r w:rsidR="005171FB">
        <w:t xml:space="preserve"> </w:t>
      </w:r>
      <w:r w:rsidR="000F756B">
        <w:t>of</w:t>
      </w:r>
      <w:r w:rsidR="005171FB">
        <w:t xml:space="preserve"> 49% among bisexual women, 29% </w:t>
      </w:r>
      <w:r>
        <w:t>among lesbian</w:t>
      </w:r>
      <w:r w:rsidR="005171FB">
        <w:t xml:space="preserve"> women and 24% among heterosexual women. </w:t>
      </w:r>
      <w:r w:rsidR="00F72B3F">
        <w:t>Another investigation</w:t>
      </w:r>
      <w:r w:rsidR="005171FB">
        <w:t xml:space="preserve"> </w:t>
      </w:r>
      <w:r w:rsidR="002B681E">
        <w:t>documented</w:t>
      </w:r>
      <w:r w:rsidR="005171FB">
        <w:t xml:space="preserve"> a prevalence of intimate partner violence of </w:t>
      </w:r>
      <w:r w:rsidR="00866A48">
        <w:t>40% among those who identified as gay or lesbian</w:t>
      </w:r>
      <w:r w:rsidR="007A6E33">
        <w:t>,</w:t>
      </w:r>
      <w:r w:rsidR="00866A48">
        <w:t xml:space="preserve"> and </w:t>
      </w:r>
      <w:r w:rsidR="005171FB">
        <w:t>32% among heterosexuals</w:t>
      </w:r>
      <w:r w:rsidR="00F72B3F">
        <w:t xml:space="preserve"> (Brown and Herman, 2015)</w:t>
      </w:r>
      <w:r w:rsidR="005171FB">
        <w:t>.</w:t>
      </w:r>
      <w:r w:rsidR="00665C57">
        <w:t xml:space="preserve"> And</w:t>
      </w:r>
      <w:r w:rsidR="004841A5">
        <w:t xml:space="preserve"> the</w:t>
      </w:r>
      <w:r w:rsidR="00665C57">
        <w:t xml:space="preserve"> </w:t>
      </w:r>
      <w:r w:rsidR="00C1111F">
        <w:t>Asian-Pacific Institute on Gender-based Violence</w:t>
      </w:r>
      <w:r w:rsidR="00F75650">
        <w:t xml:space="preserve"> (undated)</w:t>
      </w:r>
      <w:r w:rsidR="00043E3F">
        <w:t xml:space="preserve"> </w:t>
      </w:r>
      <w:r w:rsidR="00665C57">
        <w:t>cites findings of a 2013 US survey, in which 61% of bisexual women, 44% of lesbian women and 35% of heterosexual women reported that they had experienced physical or sexual violence, or stalking, during their lifetimes.</w:t>
      </w:r>
      <w:r w:rsidR="00953ADB">
        <w:t xml:space="preserve"> I</w:t>
      </w:r>
      <w:r w:rsidR="00953ADB" w:rsidRPr="00C21D15">
        <w:t>n the</w:t>
      </w:r>
      <w:r w:rsidR="00F75650">
        <w:t xml:space="preserve"> more recent,</w:t>
      </w:r>
      <w:r w:rsidR="00953ADB" w:rsidRPr="00C21D15">
        <w:t xml:space="preserve"> 2017 Victorian Population Health Survey</w:t>
      </w:r>
      <w:r w:rsidR="00953ADB">
        <w:t>, of 34,000 randomly-selected Victorian adults, 13%</w:t>
      </w:r>
      <w:r w:rsidR="00953ADB" w:rsidRPr="00C21D15">
        <w:t xml:space="preserve"> of</w:t>
      </w:r>
      <w:r w:rsidR="00953ADB">
        <w:t xml:space="preserve"> </w:t>
      </w:r>
      <w:r w:rsidR="00953ADB" w:rsidRPr="00C21D15">
        <w:t xml:space="preserve">LGBTI survey </w:t>
      </w:r>
      <w:r w:rsidR="00953ADB">
        <w:t>participants stated</w:t>
      </w:r>
      <w:r w:rsidR="00953ADB" w:rsidRPr="00C21D15">
        <w:t xml:space="preserve"> that they had experienced </w:t>
      </w:r>
      <w:r w:rsidR="00953ADB" w:rsidRPr="008466ED">
        <w:t>family violence</w:t>
      </w:r>
      <w:r w:rsidR="00953ADB" w:rsidRPr="00C21D15">
        <w:t xml:space="preserve"> </w:t>
      </w:r>
      <w:r w:rsidR="00953ADB" w:rsidRPr="00953ADB">
        <w:rPr>
          <w:i/>
          <w:iCs/>
        </w:rPr>
        <w:t>in the previous two years</w:t>
      </w:r>
      <w:r w:rsidR="00953ADB" w:rsidRPr="00C21D15">
        <w:t xml:space="preserve"> – almost three times the corresponding proportion of non-LGBTI individuals</w:t>
      </w:r>
      <w:r w:rsidR="00953ADB">
        <w:t>, of 5%</w:t>
      </w:r>
      <w:r w:rsidR="00953ADB" w:rsidRPr="00C21D15">
        <w:t>.</w:t>
      </w:r>
      <w:r w:rsidR="00953ADB">
        <w:t xml:space="preserve"> Types of abuse reported by LGBTI individuals included emotional (12.7%), physical (6.3%), financial (5.4%), spiritual (3.3%) and sexual (0.4%) (Victorian Agency for Health Information, 2020).</w:t>
      </w:r>
    </w:p>
    <w:p w14:paraId="4018F3DB" w14:textId="58966B3E" w:rsidR="00787D43" w:rsidRPr="007821BF" w:rsidRDefault="00810D05" w:rsidP="007821BF">
      <w:pPr>
        <w:spacing w:after="0" w:line="288" w:lineRule="auto"/>
        <w:jc w:val="both"/>
      </w:pPr>
      <w:r>
        <w:t>Among LGBTI people, a</w:t>
      </w:r>
      <w:r w:rsidR="00E142DB" w:rsidRPr="007821BF">
        <w:t xml:space="preserve"> </w:t>
      </w:r>
      <w:r w:rsidR="000E26F1" w:rsidRPr="007821BF">
        <w:t>succession</w:t>
      </w:r>
      <w:r w:rsidR="00E142DB" w:rsidRPr="007821BF">
        <w:t xml:space="preserve"> of </w:t>
      </w:r>
      <w:r w:rsidR="004841A5">
        <w:t xml:space="preserve">findings </w:t>
      </w:r>
      <w:r w:rsidR="007534CA">
        <w:t>show</w:t>
      </w:r>
      <w:r w:rsidR="00F12387" w:rsidRPr="007821BF">
        <w:t xml:space="preserve"> that the</w:t>
      </w:r>
      <w:r w:rsidR="00E142DB" w:rsidRPr="007821BF">
        <w:t xml:space="preserve"> proportion of people who have experienced intimate partner </w:t>
      </w:r>
      <w:r w:rsidR="000E26F1" w:rsidRPr="007821BF">
        <w:t>violence</w:t>
      </w:r>
      <w:r w:rsidR="00E142DB" w:rsidRPr="007821BF">
        <w:t xml:space="preserve"> </w:t>
      </w:r>
      <w:r w:rsidR="004841A5">
        <w:t>appears to be</w:t>
      </w:r>
      <w:r w:rsidR="00E142DB" w:rsidRPr="007821BF">
        <w:t xml:space="preserve"> higher among </w:t>
      </w:r>
      <w:r>
        <w:t>those</w:t>
      </w:r>
      <w:r w:rsidR="00E142DB" w:rsidRPr="007821BF">
        <w:t xml:space="preserve"> who identify as female than among </w:t>
      </w:r>
      <w:r>
        <w:t>males</w:t>
      </w:r>
      <w:r w:rsidR="00866A48" w:rsidRPr="007821BF">
        <w:t>,</w:t>
      </w:r>
      <w:r w:rsidR="00F12387" w:rsidRPr="007821BF">
        <w:t xml:space="preserve"> </w:t>
      </w:r>
      <w:r w:rsidR="00866A48" w:rsidRPr="007821BF">
        <w:t>by a margin which</w:t>
      </w:r>
      <w:r w:rsidR="00E142DB" w:rsidRPr="007821BF">
        <w:t xml:space="preserve"> rang</w:t>
      </w:r>
      <w:r w:rsidR="00866A48" w:rsidRPr="007821BF">
        <w:t>es</w:t>
      </w:r>
      <w:r w:rsidR="00E142DB" w:rsidRPr="007821BF">
        <w:t xml:space="preserve"> from 5% to 22% </w:t>
      </w:r>
      <w:r w:rsidR="000F756B">
        <w:t xml:space="preserve">among the research surveyed here </w:t>
      </w:r>
      <w:r w:rsidR="00FE7BA2" w:rsidRPr="007821BF">
        <w:t xml:space="preserve">(Lie et al, 1991; </w:t>
      </w:r>
      <w:r w:rsidR="00A4596D">
        <w:t>Donovan, 2006</w:t>
      </w:r>
      <w:r w:rsidR="00FE7BA2" w:rsidRPr="007821BF">
        <w:t xml:space="preserve">; </w:t>
      </w:r>
      <w:r w:rsidR="00770866">
        <w:t>Pitts et al, 2006</w:t>
      </w:r>
      <w:r w:rsidR="00FE7BA2" w:rsidRPr="007821BF">
        <w:t>).</w:t>
      </w:r>
    </w:p>
    <w:p w14:paraId="50FF5889" w14:textId="46169835" w:rsidR="00E142DB" w:rsidRDefault="00FE7BA2" w:rsidP="007821BF">
      <w:pPr>
        <w:spacing w:after="0" w:line="288" w:lineRule="auto"/>
        <w:jc w:val="both"/>
      </w:pPr>
      <w:r w:rsidRPr="007821BF">
        <w:t>Some investigat</w:t>
      </w:r>
      <w:r w:rsidR="007A6E33">
        <w:t>ors</w:t>
      </w:r>
      <w:r w:rsidRPr="007821BF">
        <w:t xml:space="preserve"> have also documented </w:t>
      </w:r>
      <w:r w:rsidR="000F756B">
        <w:t xml:space="preserve">a </w:t>
      </w:r>
      <w:r w:rsidRPr="007821BF">
        <w:t xml:space="preserve">relatively high </w:t>
      </w:r>
      <w:r w:rsidR="000F756B">
        <w:t>prevalence of the experience of intimate partner violence</w:t>
      </w:r>
      <w:r w:rsidRPr="007821BF">
        <w:t xml:space="preserve"> among </w:t>
      </w:r>
      <w:r>
        <w:t>bisexual women (</w:t>
      </w:r>
      <w:r w:rsidR="00BF57B7">
        <w:t>Rolle et al, 2018</w:t>
      </w:r>
      <w:r>
        <w:t>; Brown and Herman 2015).</w:t>
      </w:r>
    </w:p>
    <w:p w14:paraId="12A11A1C" w14:textId="7BD6D53B" w:rsidR="00FE7BA2" w:rsidRDefault="00FE7BA2" w:rsidP="00DA4912">
      <w:pPr>
        <w:spacing w:after="0" w:line="240" w:lineRule="auto"/>
        <w:jc w:val="both"/>
      </w:pPr>
    </w:p>
    <w:p w14:paraId="68527459" w14:textId="2DF2D364" w:rsidR="00FE7BA2" w:rsidRPr="00EC5C21" w:rsidRDefault="000D0C80" w:rsidP="00533B5B">
      <w:pPr>
        <w:spacing w:after="60" w:line="240" w:lineRule="auto"/>
        <w:jc w:val="both"/>
        <w:rPr>
          <w:b/>
          <w:bCs/>
          <w:color w:val="1F3864" w:themeColor="accent1" w:themeShade="80"/>
          <w:lang w:val="en-AU"/>
        </w:rPr>
      </w:pPr>
      <w:r w:rsidRPr="00EC5C21">
        <w:rPr>
          <w:b/>
          <w:bCs/>
          <w:color w:val="1F3864" w:themeColor="accent1" w:themeShade="80"/>
          <w:lang w:val="en-AU"/>
        </w:rPr>
        <w:t>Features of Intimate Partner Violence</w:t>
      </w:r>
    </w:p>
    <w:p w14:paraId="56839BCC" w14:textId="37101020" w:rsidR="009078EB" w:rsidRDefault="00F12387" w:rsidP="007821BF">
      <w:pPr>
        <w:spacing w:after="0" w:line="288" w:lineRule="auto"/>
        <w:jc w:val="both"/>
      </w:pPr>
      <w:r>
        <w:t>A</w:t>
      </w:r>
      <w:r w:rsidR="009078EB">
        <w:t xml:space="preserve">buse experienced within some LGBTI relationships </w:t>
      </w:r>
      <w:r>
        <w:t xml:space="preserve">has </w:t>
      </w:r>
      <w:r w:rsidR="00FF1BBF">
        <w:t>features</w:t>
      </w:r>
      <w:r>
        <w:t xml:space="preserve"> in common with violence</w:t>
      </w:r>
      <w:r w:rsidR="009078EB">
        <w:t xml:space="preserve"> </w:t>
      </w:r>
      <w:r w:rsidR="00787D43">
        <w:t>inflicted upon</w:t>
      </w:r>
      <w:r w:rsidR="009078EB">
        <w:t xml:space="preserve"> </w:t>
      </w:r>
      <w:r w:rsidR="000E26F1">
        <w:t>heterosexual women</w:t>
      </w:r>
      <w:r>
        <w:t xml:space="preserve"> by their partners</w:t>
      </w:r>
      <w:r w:rsidR="009078EB">
        <w:t xml:space="preserve"> – </w:t>
      </w:r>
      <w:r w:rsidR="000E26F1">
        <w:t xml:space="preserve">including </w:t>
      </w:r>
      <w:r w:rsidR="00FF1BBF">
        <w:t xml:space="preserve">the existence of </w:t>
      </w:r>
      <w:r w:rsidR="000E26F1">
        <w:t>physical</w:t>
      </w:r>
      <w:r w:rsidR="006A600B">
        <w:t>,</w:t>
      </w:r>
      <w:r w:rsidR="009078EB">
        <w:t xml:space="preserve"> </w:t>
      </w:r>
      <w:r w:rsidR="000E26F1">
        <w:t>sexual</w:t>
      </w:r>
      <w:r w:rsidR="009078EB">
        <w:t xml:space="preserve">, financial, </w:t>
      </w:r>
      <w:r w:rsidR="000E26F1">
        <w:t>verbal</w:t>
      </w:r>
      <w:r w:rsidR="009078EB">
        <w:t xml:space="preserve">, </w:t>
      </w:r>
      <w:r w:rsidR="000E26F1">
        <w:t>psychological</w:t>
      </w:r>
      <w:r w:rsidR="009078EB">
        <w:t xml:space="preserve"> or </w:t>
      </w:r>
      <w:r w:rsidR="00106B93">
        <w:t>financial</w:t>
      </w:r>
      <w:r w:rsidR="009078EB">
        <w:t xml:space="preserve"> violence</w:t>
      </w:r>
      <w:r w:rsidR="00FF1BBF">
        <w:t xml:space="preserve">, </w:t>
      </w:r>
      <w:r>
        <w:t>and</w:t>
      </w:r>
      <w:r w:rsidR="009078EB">
        <w:t xml:space="preserve"> consequences </w:t>
      </w:r>
      <w:r>
        <w:t>such as</w:t>
      </w:r>
      <w:r w:rsidR="009078EB">
        <w:t xml:space="preserve"> isolation, </w:t>
      </w:r>
      <w:r w:rsidR="000E26F1">
        <w:t>fear</w:t>
      </w:r>
      <w:r w:rsidR="009078EB">
        <w:t xml:space="preserve">, physical and </w:t>
      </w:r>
      <w:r w:rsidR="000E26F1">
        <w:t>psychological</w:t>
      </w:r>
      <w:r w:rsidR="009078EB">
        <w:t xml:space="preserve"> injury, </w:t>
      </w:r>
      <w:r w:rsidR="000E26F1">
        <w:t>helplessness</w:t>
      </w:r>
      <w:r w:rsidR="009078EB">
        <w:t xml:space="preserve"> and feelings of being </w:t>
      </w:r>
      <w:r w:rsidR="008B262F">
        <w:t>trapped</w:t>
      </w:r>
      <w:r w:rsidR="009078EB">
        <w:t xml:space="preserve"> within an </w:t>
      </w:r>
      <w:r w:rsidR="000E26F1">
        <w:t>abusive</w:t>
      </w:r>
      <w:r w:rsidR="009078EB">
        <w:t xml:space="preserve"> relationship (</w:t>
      </w:r>
      <w:r w:rsidR="00BF57B7">
        <w:t>Rolle et al, 2018</w:t>
      </w:r>
      <w:r w:rsidR="009078EB">
        <w:t xml:space="preserve">; </w:t>
      </w:r>
      <w:r w:rsidR="00C1111F">
        <w:t>National Coalition Against Domestic Violence, undated</w:t>
      </w:r>
      <w:r w:rsidR="009078EB">
        <w:t xml:space="preserve">). </w:t>
      </w:r>
      <w:r>
        <w:t>A</w:t>
      </w:r>
      <w:r w:rsidR="009078EB">
        <w:t>s with violence</w:t>
      </w:r>
      <w:r>
        <w:t xml:space="preserve"> perpetrated within heterosexual relationships</w:t>
      </w:r>
      <w:r w:rsidR="009078EB">
        <w:t xml:space="preserve">, experiences </w:t>
      </w:r>
      <w:r>
        <w:t xml:space="preserve">of intimate partner violence by LGBTI </w:t>
      </w:r>
      <w:r w:rsidR="009078EB">
        <w:t xml:space="preserve">individuals may vary widely from one </w:t>
      </w:r>
      <w:r>
        <w:t>person</w:t>
      </w:r>
      <w:r w:rsidR="009078EB">
        <w:t xml:space="preserve"> to another</w:t>
      </w:r>
      <w:r>
        <w:t xml:space="preserve">, and </w:t>
      </w:r>
      <w:r w:rsidR="00C6456C">
        <w:t xml:space="preserve">among people of different </w:t>
      </w:r>
      <w:r w:rsidR="000E26F1">
        <w:t>cultural</w:t>
      </w:r>
      <w:r w:rsidR="00C6456C">
        <w:t xml:space="preserve"> identities and heritage, income</w:t>
      </w:r>
      <w:r w:rsidR="000F756B">
        <w:t>, formal education</w:t>
      </w:r>
      <w:r w:rsidR="00C6456C">
        <w:t>, age, ability or other characteristics (</w:t>
      </w:r>
      <w:r w:rsidR="0040259C">
        <w:t>Brown, 2017B</w:t>
      </w:r>
      <w:r w:rsidR="005B2EF3">
        <w:t xml:space="preserve">; </w:t>
      </w:r>
      <w:r w:rsidR="0040259C" w:rsidRPr="00E72EA7">
        <w:rPr>
          <w:color w:val="000000" w:themeColor="text1"/>
        </w:rPr>
        <w:t>Our Watch</w:t>
      </w:r>
      <w:r w:rsidR="0040259C">
        <w:rPr>
          <w:color w:val="000000" w:themeColor="text1"/>
        </w:rPr>
        <w:t xml:space="preserve">, </w:t>
      </w:r>
      <w:r w:rsidR="0040259C" w:rsidRPr="00E72EA7">
        <w:rPr>
          <w:color w:val="000000" w:themeColor="text1"/>
        </w:rPr>
        <w:t>2017</w:t>
      </w:r>
      <w:r w:rsidR="00C6456C">
        <w:t>).</w:t>
      </w:r>
    </w:p>
    <w:p w14:paraId="34A6C404" w14:textId="5E503637" w:rsidR="00C6456C" w:rsidRDefault="007A6E33" w:rsidP="007821BF">
      <w:pPr>
        <w:spacing w:after="0" w:line="288" w:lineRule="auto"/>
        <w:jc w:val="both"/>
      </w:pPr>
      <w:r>
        <w:t>However</w:t>
      </w:r>
      <w:r w:rsidR="00F12387">
        <w:t xml:space="preserve">, violence within LGBTI relationships </w:t>
      </w:r>
      <w:r>
        <w:t xml:space="preserve">may also </w:t>
      </w:r>
      <w:r w:rsidR="00003792">
        <w:t>incorporate</w:t>
      </w:r>
      <w:r>
        <w:t xml:space="preserve"> some distinct features </w:t>
      </w:r>
      <w:r w:rsidR="00C6456C">
        <w:t>(</w:t>
      </w:r>
      <w:r w:rsidR="00C1111F">
        <w:t>Leith et al, 2020</w:t>
      </w:r>
      <w:r w:rsidR="00C6456C">
        <w:t>)</w:t>
      </w:r>
      <w:r w:rsidR="00F12387">
        <w:t xml:space="preserve">. These include </w:t>
      </w:r>
      <w:r w:rsidR="00F95105">
        <w:t>threats to expose confidential information about</w:t>
      </w:r>
      <w:r w:rsidR="00F12387">
        <w:t xml:space="preserve"> sexuality or gender identity; </w:t>
      </w:r>
      <w:r w:rsidR="00C6456C">
        <w:t>isolat</w:t>
      </w:r>
      <w:r w:rsidR="00F95105">
        <w:t>ion of</w:t>
      </w:r>
      <w:r w:rsidR="00C6456C">
        <w:t xml:space="preserve"> a partner from the support of their wider LGBTI community; belittl</w:t>
      </w:r>
      <w:r w:rsidR="00F95105">
        <w:t>ing</w:t>
      </w:r>
      <w:r w:rsidR="00C6456C">
        <w:t xml:space="preserve"> their identity</w:t>
      </w:r>
      <w:r w:rsidR="00F12387">
        <w:t xml:space="preserve"> or </w:t>
      </w:r>
      <w:r w:rsidR="00C6456C">
        <w:t>sexuality; exploit</w:t>
      </w:r>
      <w:r w:rsidR="00F95105">
        <w:t>ing</w:t>
      </w:r>
      <w:r w:rsidR="00C6456C">
        <w:t xml:space="preserve"> </w:t>
      </w:r>
      <w:r w:rsidR="000E26F1">
        <w:t>chronic</w:t>
      </w:r>
      <w:r w:rsidR="00C6456C">
        <w:t xml:space="preserve"> illness</w:t>
      </w:r>
      <w:r w:rsidR="000F756B">
        <w:t>,</w:t>
      </w:r>
      <w:r w:rsidR="00C6456C">
        <w:t xml:space="preserve"> such as HIV</w:t>
      </w:r>
      <w:r w:rsidR="000F756B">
        <w:t>/AIDS</w:t>
      </w:r>
      <w:r w:rsidR="00C6456C">
        <w:t xml:space="preserve">; </w:t>
      </w:r>
      <w:r w:rsidR="00F12387">
        <w:t>deny</w:t>
      </w:r>
      <w:r w:rsidR="00F95105">
        <w:t>ing</w:t>
      </w:r>
      <w:r w:rsidR="00C6456C">
        <w:t xml:space="preserve"> </w:t>
      </w:r>
      <w:r w:rsidR="004766A3">
        <w:t xml:space="preserve">the </w:t>
      </w:r>
      <w:r w:rsidR="00C6456C">
        <w:t>existence of abuse</w:t>
      </w:r>
      <w:r w:rsidR="00F12387">
        <w:t xml:space="preserve"> or </w:t>
      </w:r>
      <w:r w:rsidR="00534A68">
        <w:t>minimiz</w:t>
      </w:r>
      <w:r w:rsidR="000F756B">
        <w:t>ing</w:t>
      </w:r>
      <w:r w:rsidR="00F12387">
        <w:t xml:space="preserve"> its impact</w:t>
      </w:r>
      <w:r w:rsidR="004766A3">
        <w:t>; and others</w:t>
      </w:r>
      <w:r w:rsidR="00C6456C">
        <w:t>.</w:t>
      </w:r>
    </w:p>
    <w:p w14:paraId="3B810792" w14:textId="412F6F60" w:rsidR="00EB2820" w:rsidRPr="00EB2820" w:rsidRDefault="00EB2820" w:rsidP="000F756B">
      <w:pPr>
        <w:spacing w:before="60" w:after="40" w:line="240" w:lineRule="auto"/>
        <w:jc w:val="both"/>
        <w:rPr>
          <w:i/>
          <w:iCs/>
        </w:rPr>
      </w:pPr>
      <w:r w:rsidRPr="00EB2820">
        <w:rPr>
          <w:i/>
          <w:iCs/>
        </w:rPr>
        <w:lastRenderedPageBreak/>
        <w:t>Exposure</w:t>
      </w:r>
    </w:p>
    <w:p w14:paraId="11895BB4" w14:textId="463CB359" w:rsidR="00C6456C" w:rsidRDefault="00C6456C" w:rsidP="007821BF">
      <w:pPr>
        <w:spacing w:after="0" w:line="288" w:lineRule="auto"/>
        <w:jc w:val="both"/>
      </w:pPr>
      <w:r>
        <w:t xml:space="preserve">Threats </w:t>
      </w:r>
      <w:r w:rsidR="000E26F1">
        <w:t>to ‘out</w:t>
      </w:r>
      <w:r>
        <w:t xml:space="preserve">’ a partner </w:t>
      </w:r>
      <w:r w:rsidR="00160774">
        <w:t xml:space="preserve">or </w:t>
      </w:r>
      <w:r w:rsidR="00DB3BEC">
        <w:t>disclose</w:t>
      </w:r>
      <w:r w:rsidR="00160774">
        <w:t xml:space="preserve"> </w:t>
      </w:r>
      <w:r w:rsidR="00106B93">
        <w:t>their</w:t>
      </w:r>
      <w:r w:rsidR="00160774">
        <w:t xml:space="preserve"> HIV status</w:t>
      </w:r>
      <w:r w:rsidR="00106B93">
        <w:t xml:space="preserve"> to their family, friends or colleagues</w:t>
      </w:r>
      <w:r w:rsidR="00575D77">
        <w:t>,</w:t>
      </w:r>
      <w:r>
        <w:t xml:space="preserve"> are </w:t>
      </w:r>
      <w:r w:rsidR="00F12387">
        <w:t xml:space="preserve">a </w:t>
      </w:r>
      <w:r>
        <w:t>widely</w:t>
      </w:r>
      <w:r w:rsidR="00575D77">
        <w:t>-</w:t>
      </w:r>
      <w:r>
        <w:t>reported method used to abuse, intimidate or control a partner (</w:t>
      </w:r>
      <w:r w:rsidR="00BF57B7">
        <w:t>Li, 2020</w:t>
      </w:r>
      <w:r>
        <w:t xml:space="preserve">; </w:t>
      </w:r>
      <w:r w:rsidR="00BF57B7">
        <w:t>Stuart, 2018</w:t>
      </w:r>
      <w:r>
        <w:t xml:space="preserve">; </w:t>
      </w:r>
      <w:r w:rsidR="00BF57B7">
        <w:t>DVConnect, 2018</w:t>
      </w:r>
      <w:r>
        <w:t xml:space="preserve">; </w:t>
      </w:r>
      <w:r w:rsidR="00C1111F">
        <w:t>Dept. Social Services, undated</w:t>
      </w:r>
      <w:r>
        <w:t xml:space="preserve">; </w:t>
      </w:r>
      <w:r w:rsidR="00770866">
        <w:t>Stuart, 2018</w:t>
      </w:r>
      <w:r>
        <w:t>), and one characterized by the</w:t>
      </w:r>
      <w:r w:rsidRPr="00EF1607">
        <w:rPr>
          <w:i/>
          <w:iCs/>
        </w:rPr>
        <w:t xml:space="preserve"> Family Violence Prevention Act 2008</w:t>
      </w:r>
      <w:r>
        <w:t xml:space="preserve"> as a form of violence (</w:t>
      </w:r>
      <w:r w:rsidR="003810DB">
        <w:t>Campo and Tayton, 2015</w:t>
      </w:r>
      <w:r>
        <w:t>).</w:t>
      </w:r>
    </w:p>
    <w:p w14:paraId="0134E788" w14:textId="27BD052E" w:rsidR="00EB2820" w:rsidRPr="00EB2820" w:rsidRDefault="00EB2820" w:rsidP="000F756B">
      <w:pPr>
        <w:spacing w:before="60" w:after="40" w:line="240" w:lineRule="auto"/>
        <w:jc w:val="both"/>
        <w:rPr>
          <w:i/>
          <w:iCs/>
        </w:rPr>
      </w:pPr>
      <w:r w:rsidRPr="00EB2820">
        <w:rPr>
          <w:i/>
          <w:iCs/>
        </w:rPr>
        <w:t>Connection to community</w:t>
      </w:r>
    </w:p>
    <w:p w14:paraId="3274E317" w14:textId="617CD650" w:rsidR="00C6456C" w:rsidRDefault="00C6456C" w:rsidP="007821BF">
      <w:pPr>
        <w:spacing w:after="0" w:line="288" w:lineRule="auto"/>
        <w:jc w:val="both"/>
      </w:pPr>
      <w:r>
        <w:t xml:space="preserve">Isolation from the support of </w:t>
      </w:r>
      <w:r w:rsidR="000E26F1">
        <w:t>friends</w:t>
      </w:r>
      <w:r>
        <w:t xml:space="preserve"> and family by an </w:t>
      </w:r>
      <w:r w:rsidR="000E26F1">
        <w:t>abusive</w:t>
      </w:r>
      <w:r>
        <w:t xml:space="preserve"> and controlling partner, is well </w:t>
      </w:r>
      <w:r w:rsidR="00787D43">
        <w:t>documented</w:t>
      </w:r>
      <w:r>
        <w:t xml:space="preserve"> among the abuse experienced by many </w:t>
      </w:r>
      <w:r w:rsidR="008B262F">
        <w:t>heterosexual</w:t>
      </w:r>
      <w:r>
        <w:t xml:space="preserve"> women (Crime </w:t>
      </w:r>
      <w:r w:rsidR="000E26F1">
        <w:t>Prevention</w:t>
      </w:r>
      <w:r>
        <w:t xml:space="preserve"> Victoria, 2002; Office of Women’s Policy, 2002; Bagshaw and Chang, 2000; Hegarty et al, 2000). </w:t>
      </w:r>
      <w:r w:rsidR="004766A3">
        <w:t>Similarly</w:t>
      </w:r>
      <w:r w:rsidR="00575D77">
        <w:t>,</w:t>
      </w:r>
      <w:r>
        <w:t xml:space="preserve"> some abusive partners within LGBTI relationships may seek to </w:t>
      </w:r>
      <w:r w:rsidR="00F72B3F">
        <w:t>isolate</w:t>
      </w:r>
      <w:r>
        <w:t xml:space="preserve"> a partner from their community (</w:t>
      </w:r>
      <w:r w:rsidR="00BF57B7">
        <w:t>DVConnect, 2018</w:t>
      </w:r>
      <w:r>
        <w:t xml:space="preserve">; </w:t>
      </w:r>
      <w:r w:rsidR="00043E3F" w:rsidRPr="00DE1FB2">
        <w:rPr>
          <w:color w:val="000000" w:themeColor="text1"/>
        </w:rPr>
        <w:t>Family and Community Services</w:t>
      </w:r>
      <w:r w:rsidR="00043E3F">
        <w:rPr>
          <w:color w:val="000000" w:themeColor="text1"/>
        </w:rPr>
        <w:t xml:space="preserve">, </w:t>
      </w:r>
      <w:r w:rsidR="00043E3F" w:rsidRPr="00DE1FB2">
        <w:rPr>
          <w:color w:val="000000" w:themeColor="text1"/>
        </w:rPr>
        <w:t>undated</w:t>
      </w:r>
      <w:r>
        <w:t>), which</w:t>
      </w:r>
      <w:r w:rsidR="00EF1607">
        <w:t>,</w:t>
      </w:r>
      <w:r>
        <w:t xml:space="preserve"> for many</w:t>
      </w:r>
      <w:r w:rsidR="00EF1607">
        <w:t xml:space="preserve"> people,</w:t>
      </w:r>
      <w:r>
        <w:t xml:space="preserve"> forms a vital source of support (</w:t>
      </w:r>
      <w:r w:rsidR="00230B66">
        <w:t>Meyer, 2003</w:t>
      </w:r>
      <w:r>
        <w:t>; Fairchild, 2020)</w:t>
      </w:r>
      <w:r w:rsidR="00160774">
        <w:t xml:space="preserve">. Others may criticize </w:t>
      </w:r>
      <w:r w:rsidR="00EF1607">
        <w:t>their partner</w:t>
      </w:r>
      <w:r>
        <w:t xml:space="preserve"> among LGBTI </w:t>
      </w:r>
      <w:r w:rsidR="000E26F1">
        <w:t>friends</w:t>
      </w:r>
      <w:r>
        <w:t xml:space="preserve"> (</w:t>
      </w:r>
      <w:r w:rsidR="00770866">
        <w:t>Stuart, 2018</w:t>
      </w:r>
      <w:r>
        <w:t xml:space="preserve">), </w:t>
      </w:r>
      <w:r w:rsidR="00160774">
        <w:t>disparage</w:t>
      </w:r>
      <w:r>
        <w:t xml:space="preserve"> the LGBTI scene or </w:t>
      </w:r>
      <w:r w:rsidR="00FF1BBF">
        <w:t>jealously discourage</w:t>
      </w:r>
      <w:r>
        <w:t xml:space="preserve"> a partner from maintain</w:t>
      </w:r>
      <w:r w:rsidR="00160774">
        <w:t>ing</w:t>
      </w:r>
      <w:r>
        <w:t xml:space="preserve"> contact with </w:t>
      </w:r>
      <w:r w:rsidR="00160774">
        <w:t>the LGBTI</w:t>
      </w:r>
      <w:r>
        <w:t xml:space="preserve"> </w:t>
      </w:r>
      <w:r w:rsidR="000E26F1">
        <w:t>community</w:t>
      </w:r>
      <w:r>
        <w:t xml:space="preserve"> (</w:t>
      </w:r>
      <w:r w:rsidR="00A4596D">
        <w:t>Donovan, 2006</w:t>
      </w:r>
      <w:r>
        <w:t>).</w:t>
      </w:r>
    </w:p>
    <w:p w14:paraId="567FD53A" w14:textId="412104A0" w:rsidR="00EB2820" w:rsidRPr="00EB2820" w:rsidRDefault="00EB2820" w:rsidP="000F756B">
      <w:pPr>
        <w:spacing w:before="60" w:after="40" w:line="240" w:lineRule="auto"/>
        <w:jc w:val="both"/>
        <w:rPr>
          <w:i/>
          <w:iCs/>
        </w:rPr>
      </w:pPr>
      <w:r w:rsidRPr="00EB2820">
        <w:rPr>
          <w:i/>
          <w:iCs/>
        </w:rPr>
        <w:t>Verbal abuse</w:t>
      </w:r>
    </w:p>
    <w:p w14:paraId="7C513477" w14:textId="3449623A" w:rsidR="003377BE" w:rsidRDefault="00575D77" w:rsidP="001954A0">
      <w:pPr>
        <w:spacing w:after="0" w:line="288" w:lineRule="auto"/>
        <w:jc w:val="both"/>
      </w:pPr>
      <w:r>
        <w:t>Verbal</w:t>
      </w:r>
      <w:r w:rsidR="00C6456C">
        <w:t xml:space="preserve"> abuse reported within some LGBTI relationships includes </w:t>
      </w:r>
      <w:r w:rsidR="000E26F1">
        <w:t>belittling</w:t>
      </w:r>
      <w:r w:rsidR="00C6456C">
        <w:t xml:space="preserve"> a person’s sexuality, orientation or sex</w:t>
      </w:r>
      <w:r w:rsidR="001B55EE">
        <w:t>,</w:t>
      </w:r>
      <w:r w:rsidR="00C6456C">
        <w:t xml:space="preserve"> body or physical appearance (</w:t>
      </w:r>
      <w:r w:rsidR="00C1111F">
        <w:t>National Coalition Against Domestic Violence, undated</w:t>
      </w:r>
      <w:r w:rsidR="001B55EE">
        <w:t>; Family and Community Services, undated</w:t>
      </w:r>
      <w:r w:rsidR="00C6456C">
        <w:t xml:space="preserve">); the use of homo-, trans- or </w:t>
      </w:r>
      <w:r w:rsidR="000E26F1">
        <w:t xml:space="preserve">bi-phobic </w:t>
      </w:r>
      <w:r w:rsidR="00C6456C">
        <w:t>insults (</w:t>
      </w:r>
      <w:r w:rsidR="00BF57B7">
        <w:t>Stuart, 2018</w:t>
      </w:r>
      <w:r w:rsidR="00C6456C">
        <w:t xml:space="preserve">; </w:t>
      </w:r>
      <w:r w:rsidR="003810DB">
        <w:t>Our Watch, 2017</w:t>
      </w:r>
      <w:r w:rsidR="00C6456C">
        <w:t>); implying that the per</w:t>
      </w:r>
      <w:r w:rsidR="000E26F1">
        <w:t>s</w:t>
      </w:r>
      <w:r w:rsidR="00C6456C">
        <w:t>on</w:t>
      </w:r>
      <w:r w:rsidR="000E26F1">
        <w:t xml:space="preserve"> i</w:t>
      </w:r>
      <w:r w:rsidR="00C6456C">
        <w:t>s not a real man or woman</w:t>
      </w:r>
      <w:r w:rsidR="001B55EE">
        <w:t>,</w:t>
      </w:r>
      <w:r w:rsidR="00160774">
        <w:t xml:space="preserve"> </w:t>
      </w:r>
      <w:r w:rsidR="00C6456C">
        <w:t xml:space="preserve">or </w:t>
      </w:r>
      <w:r w:rsidR="00160774">
        <w:t xml:space="preserve">is not </w:t>
      </w:r>
      <w:r w:rsidR="009C2E1A">
        <w:t>homosexual owing to the sexuality of their friends of previous partners (</w:t>
      </w:r>
      <w:r w:rsidR="00043E3F" w:rsidRPr="00DB0D11">
        <w:rPr>
          <w:color w:val="000000" w:themeColor="text1"/>
        </w:rPr>
        <w:t>Human Rights and Equal Opportunity Commission</w:t>
      </w:r>
      <w:r w:rsidR="00043E3F">
        <w:rPr>
          <w:color w:val="000000" w:themeColor="text1"/>
        </w:rPr>
        <w:t xml:space="preserve">, </w:t>
      </w:r>
      <w:r w:rsidR="00043E3F" w:rsidRPr="00DB0D11">
        <w:rPr>
          <w:color w:val="000000" w:themeColor="text1"/>
        </w:rPr>
        <w:t>1999</w:t>
      </w:r>
      <w:r w:rsidR="001B55EE">
        <w:rPr>
          <w:color w:val="000000" w:themeColor="text1"/>
        </w:rPr>
        <w:t xml:space="preserve">; </w:t>
      </w:r>
      <w:r w:rsidR="001B55EE">
        <w:t>National Coalition Against Domestic Violence, undated</w:t>
      </w:r>
      <w:r w:rsidR="009C2E1A">
        <w:t xml:space="preserve">); </w:t>
      </w:r>
      <w:r w:rsidR="00160774">
        <w:t xml:space="preserve">or </w:t>
      </w:r>
      <w:r w:rsidR="009C2E1A">
        <w:t>pressuring an individual to adopt an appearance o</w:t>
      </w:r>
      <w:r w:rsidR="000F756B">
        <w:t>r</w:t>
      </w:r>
      <w:r w:rsidR="009C2E1A">
        <w:t xml:space="preserve"> pattern of </w:t>
      </w:r>
      <w:r w:rsidR="000E26F1">
        <w:t>behavior</w:t>
      </w:r>
      <w:r w:rsidR="009C2E1A">
        <w:t xml:space="preserve"> </w:t>
      </w:r>
      <w:r w:rsidR="00F72B3F">
        <w:t>matching their conception of</w:t>
      </w:r>
      <w:r w:rsidR="009C2E1A">
        <w:t xml:space="preserve"> a particular gender </w:t>
      </w:r>
      <w:r w:rsidR="000E26F1">
        <w:t>identity</w:t>
      </w:r>
      <w:r w:rsidR="009C2E1A">
        <w:t xml:space="preserve"> </w:t>
      </w:r>
      <w:r w:rsidR="00160774">
        <w:t>o</w:t>
      </w:r>
      <w:r w:rsidR="009C2E1A">
        <w:t xml:space="preserve">r </w:t>
      </w:r>
      <w:r w:rsidR="00A6367C">
        <w:t xml:space="preserve">its </w:t>
      </w:r>
      <w:r w:rsidR="009C2E1A">
        <w:t>expression (Fairchild 2010).</w:t>
      </w:r>
    </w:p>
    <w:p w14:paraId="28217790" w14:textId="24CCBA1C" w:rsidR="00C6456C" w:rsidRDefault="00BF57B7" w:rsidP="007821BF">
      <w:pPr>
        <w:spacing w:after="0" w:line="288" w:lineRule="auto"/>
        <w:jc w:val="both"/>
      </w:pPr>
      <w:r>
        <w:t>Li</w:t>
      </w:r>
      <w:r w:rsidR="00A6367C">
        <w:t xml:space="preserve"> (</w:t>
      </w:r>
      <w:r>
        <w:t>2020</w:t>
      </w:r>
      <w:r w:rsidR="00A6367C">
        <w:t>)</w:t>
      </w:r>
      <w:r w:rsidR="009C2E1A">
        <w:t xml:space="preserve"> </w:t>
      </w:r>
      <w:r w:rsidR="00160774">
        <w:t>adds</w:t>
      </w:r>
      <w:r w:rsidR="009C2E1A">
        <w:t xml:space="preserve"> that </w:t>
      </w:r>
      <w:r w:rsidR="003377BE">
        <w:t>some</w:t>
      </w:r>
      <w:r w:rsidR="009C2E1A">
        <w:t xml:space="preserve"> abusive </w:t>
      </w:r>
      <w:r w:rsidR="00160774">
        <w:t>individual</w:t>
      </w:r>
      <w:r w:rsidR="003377BE">
        <w:t>s</w:t>
      </w:r>
      <w:r w:rsidR="009C2E1A">
        <w:t xml:space="preserve"> may seek to exploit their partners</w:t>
      </w:r>
      <w:r w:rsidR="003377BE">
        <w:t>’</w:t>
      </w:r>
      <w:r w:rsidR="009C2E1A">
        <w:t xml:space="preserve"> experiences of </w:t>
      </w:r>
      <w:r w:rsidR="00160774">
        <w:t xml:space="preserve">exclusion, </w:t>
      </w:r>
      <w:r w:rsidR="009C2E1A">
        <w:t>discrimination</w:t>
      </w:r>
      <w:r w:rsidR="00160774">
        <w:t>, harassment and violence</w:t>
      </w:r>
      <w:r w:rsidR="003910BC">
        <w:t>,</w:t>
      </w:r>
      <w:r w:rsidR="009C2E1A">
        <w:t xml:space="preserve"> </w:t>
      </w:r>
      <w:r w:rsidR="00EF1607">
        <w:t>imputing</w:t>
      </w:r>
      <w:r w:rsidR="009C2E1A">
        <w:t xml:space="preserve"> </w:t>
      </w:r>
      <w:r w:rsidR="000E26F1">
        <w:t>that</w:t>
      </w:r>
      <w:r w:rsidR="009C2E1A">
        <w:t xml:space="preserve"> they deserve abuse</w:t>
      </w:r>
      <w:r w:rsidR="00160774">
        <w:t>,</w:t>
      </w:r>
      <w:r w:rsidR="009C2E1A">
        <w:t xml:space="preserve"> </w:t>
      </w:r>
      <w:r w:rsidR="003910BC">
        <w:t xml:space="preserve">because of </w:t>
      </w:r>
      <w:r w:rsidR="009C2E1A">
        <w:t>their sexuality or gender identity.</w:t>
      </w:r>
    </w:p>
    <w:p w14:paraId="6FA1CAEE" w14:textId="1D4FE702" w:rsidR="00EB2820" w:rsidRPr="00EB2820" w:rsidRDefault="00EB2820" w:rsidP="000F756B">
      <w:pPr>
        <w:spacing w:before="60" w:after="40" w:line="240" w:lineRule="auto"/>
        <w:jc w:val="both"/>
        <w:rPr>
          <w:i/>
          <w:iCs/>
        </w:rPr>
      </w:pPr>
      <w:r w:rsidRPr="00EB2820">
        <w:rPr>
          <w:i/>
          <w:iCs/>
        </w:rPr>
        <w:t>Chronic illness</w:t>
      </w:r>
    </w:p>
    <w:p w14:paraId="2D02AB19" w14:textId="3C5910A8" w:rsidR="007C63C6" w:rsidRDefault="00575D77" w:rsidP="007821BF">
      <w:pPr>
        <w:spacing w:after="0" w:line="288" w:lineRule="auto"/>
        <w:jc w:val="both"/>
      </w:pPr>
      <w:r>
        <w:t>C</w:t>
      </w:r>
      <w:r w:rsidR="007C63C6">
        <w:t xml:space="preserve">ircumstances associated with </w:t>
      </w:r>
      <w:r w:rsidR="000E26F1">
        <w:t>chronic</w:t>
      </w:r>
      <w:r w:rsidR="007C63C6">
        <w:t xml:space="preserve"> illness, especially HIV</w:t>
      </w:r>
      <w:r w:rsidR="007A6E33">
        <w:t>/AIDS</w:t>
      </w:r>
      <w:r w:rsidR="007C63C6">
        <w:t xml:space="preserve">, may be exploited by abusive </w:t>
      </w:r>
      <w:r w:rsidR="000E26F1">
        <w:t>partner</w:t>
      </w:r>
      <w:r w:rsidR="00AA3502">
        <w:t>s</w:t>
      </w:r>
      <w:r w:rsidR="000E26F1">
        <w:t>, with</w:t>
      </w:r>
      <w:r w:rsidR="007C63C6">
        <w:t xml:space="preserve"> some </w:t>
      </w:r>
      <w:r w:rsidR="000E26F1">
        <w:t>seeking</w:t>
      </w:r>
      <w:r w:rsidR="007C63C6">
        <w:t xml:space="preserve"> to exert control over a partner who is unwell, or conversely, to </w:t>
      </w:r>
      <w:r w:rsidR="003910BC">
        <w:t>declare</w:t>
      </w:r>
      <w:r w:rsidR="007C63C6">
        <w:t xml:space="preserve"> that their own health will decline if the </w:t>
      </w:r>
      <w:r w:rsidR="003377BE">
        <w:t>victim/survivor of the abuse</w:t>
      </w:r>
      <w:r w:rsidR="007C63C6">
        <w:t xml:space="preserve"> leaves </w:t>
      </w:r>
      <w:r w:rsidR="000E26F1">
        <w:t>the relationship</w:t>
      </w:r>
      <w:r w:rsidR="007C63C6">
        <w:t xml:space="preserve"> (</w:t>
      </w:r>
      <w:r w:rsidR="00C1111F">
        <w:t>National Coalition Against Domestic Violence, undated</w:t>
      </w:r>
      <w:r w:rsidR="007C63C6">
        <w:t xml:space="preserve">). </w:t>
      </w:r>
      <w:r w:rsidR="000E26F1">
        <w:t>Instances</w:t>
      </w:r>
      <w:r w:rsidR="007C63C6">
        <w:t xml:space="preserve"> where an abusive partner </w:t>
      </w:r>
      <w:r w:rsidR="00AA3502">
        <w:t>restricts</w:t>
      </w:r>
      <w:r w:rsidR="007C63C6">
        <w:t xml:space="preserve"> access to medi</w:t>
      </w:r>
      <w:r w:rsidR="000E26F1">
        <w:t>c</w:t>
      </w:r>
      <w:r w:rsidR="007C63C6">
        <w:t xml:space="preserve">al treatment or medications are also </w:t>
      </w:r>
      <w:r w:rsidR="00160774">
        <w:t>documented</w:t>
      </w:r>
      <w:r w:rsidR="007C63C6">
        <w:t xml:space="preserve"> (</w:t>
      </w:r>
      <w:r w:rsidR="00BF57B7">
        <w:t>Stuart, 2018</w:t>
      </w:r>
      <w:r w:rsidR="007C63C6">
        <w:t xml:space="preserve">; </w:t>
      </w:r>
      <w:r w:rsidR="003810DB">
        <w:t>Our Watch, 2017</w:t>
      </w:r>
      <w:r w:rsidR="007C63C6">
        <w:t xml:space="preserve">), as </w:t>
      </w:r>
      <w:r w:rsidR="00160774">
        <w:t>are</w:t>
      </w:r>
      <w:r w:rsidR="007C63C6">
        <w:t xml:space="preserve"> efforts to infect a partner with HIV (</w:t>
      </w:r>
      <w:r w:rsidR="00C1111F">
        <w:t>National Coalition Against Domestic Violence, undated</w:t>
      </w:r>
      <w:r w:rsidR="007C63C6">
        <w:t>).</w:t>
      </w:r>
      <w:r w:rsidR="00AA3502">
        <w:t xml:space="preserve"> </w:t>
      </w:r>
    </w:p>
    <w:p w14:paraId="3B33EC1A" w14:textId="1C2251E7" w:rsidR="00EB2820" w:rsidRPr="00EB2820" w:rsidRDefault="00EB2820" w:rsidP="000F756B">
      <w:pPr>
        <w:spacing w:before="60" w:after="40" w:line="240" w:lineRule="auto"/>
        <w:jc w:val="both"/>
        <w:rPr>
          <w:i/>
          <w:iCs/>
        </w:rPr>
      </w:pPr>
      <w:r w:rsidRPr="00EB2820">
        <w:rPr>
          <w:i/>
          <w:iCs/>
        </w:rPr>
        <w:t>Invalidating the experience of violence</w:t>
      </w:r>
    </w:p>
    <w:p w14:paraId="1AB2C9A2" w14:textId="7B7FC6F2" w:rsidR="007C63C6" w:rsidRDefault="00AE6982" w:rsidP="007821BF">
      <w:pPr>
        <w:spacing w:after="0" w:line="288" w:lineRule="auto"/>
        <w:jc w:val="both"/>
      </w:pPr>
      <w:r>
        <w:t xml:space="preserve">In other instances, abusive </w:t>
      </w:r>
      <w:r w:rsidR="00954645">
        <w:t>individual</w:t>
      </w:r>
      <w:r w:rsidR="001B55EE">
        <w:t>s</w:t>
      </w:r>
      <w:r>
        <w:t xml:space="preserve"> may seek to </w:t>
      </w:r>
      <w:r w:rsidR="00575D77">
        <w:t>absolve themselves of blame for their abusive conduct</w:t>
      </w:r>
      <w:r w:rsidR="00954645">
        <w:t xml:space="preserve">, claiming </w:t>
      </w:r>
      <w:r>
        <w:t xml:space="preserve">that such abuse does not </w:t>
      </w:r>
      <w:r w:rsidR="00AA3502">
        <w:t>exist</w:t>
      </w:r>
      <w:r>
        <w:t xml:space="preserve"> </w:t>
      </w:r>
      <w:r w:rsidR="000E26F1">
        <w:t>within</w:t>
      </w:r>
      <w:r>
        <w:t xml:space="preserve"> LGBTI relationships (</w:t>
      </w:r>
      <w:r w:rsidR="00770866">
        <w:t>Stuart, 2018</w:t>
      </w:r>
      <w:r>
        <w:t xml:space="preserve">), </w:t>
      </w:r>
      <w:r w:rsidR="00954645">
        <w:t xml:space="preserve">or </w:t>
      </w:r>
      <w:r w:rsidR="00F75C51">
        <w:t>maintaining</w:t>
      </w:r>
      <w:r>
        <w:t xml:space="preserve"> that the violence was </w:t>
      </w:r>
      <w:r w:rsidR="000E26F1">
        <w:t>consensual</w:t>
      </w:r>
      <w:r>
        <w:t xml:space="preserve"> or mutual (</w:t>
      </w:r>
      <w:r w:rsidR="00BF57B7">
        <w:t>Li, 2020</w:t>
      </w:r>
      <w:r w:rsidR="00575D77">
        <w:t>). O</w:t>
      </w:r>
      <w:r>
        <w:t xml:space="preserve">thers may inform </w:t>
      </w:r>
      <w:r w:rsidR="000E26F1">
        <w:t>their</w:t>
      </w:r>
      <w:r>
        <w:t xml:space="preserve"> partner that no-one will come to their </w:t>
      </w:r>
      <w:r w:rsidR="000E26F1">
        <w:t>assistance</w:t>
      </w:r>
      <w:r>
        <w:t xml:space="preserve"> (</w:t>
      </w:r>
      <w:r w:rsidR="003810DB">
        <w:t>Campo and Tayton, 2015</w:t>
      </w:r>
      <w:r>
        <w:t xml:space="preserve">), </w:t>
      </w:r>
      <w:r w:rsidR="000E26F1">
        <w:t>exploiting</w:t>
      </w:r>
      <w:r>
        <w:t xml:space="preserve"> their experience of discrimination</w:t>
      </w:r>
      <w:r w:rsidR="00AA3502">
        <w:t xml:space="preserve"> and exclusion</w:t>
      </w:r>
      <w:r>
        <w:t xml:space="preserve">; or </w:t>
      </w:r>
      <w:r w:rsidR="00AA3502">
        <w:t>declare that</w:t>
      </w:r>
      <w:r>
        <w:t xml:space="preserve"> they deserve the abuse (</w:t>
      </w:r>
      <w:r w:rsidR="00BF57B7">
        <w:t>Li, 2020</w:t>
      </w:r>
      <w:r>
        <w:t>)</w:t>
      </w:r>
      <w:r w:rsidR="00954645">
        <w:t xml:space="preserve"> –</w:t>
      </w:r>
      <w:r>
        <w:t xml:space="preserve"> </w:t>
      </w:r>
      <w:r w:rsidR="00F14288">
        <w:t>an assertion</w:t>
      </w:r>
      <w:r w:rsidR="00954645">
        <w:t xml:space="preserve"> that</w:t>
      </w:r>
      <w:r>
        <w:t xml:space="preserve"> mirror</w:t>
      </w:r>
      <w:r w:rsidR="00F14288">
        <w:t>s</w:t>
      </w:r>
      <w:r w:rsidR="00954645">
        <w:t xml:space="preserve"> the</w:t>
      </w:r>
      <w:r>
        <w:t xml:space="preserve"> harassment and </w:t>
      </w:r>
      <w:r w:rsidR="00F14288">
        <w:t>abuse</w:t>
      </w:r>
      <w:r>
        <w:t xml:space="preserve"> born</w:t>
      </w:r>
      <w:r w:rsidR="00AA3502">
        <w:t>e</w:t>
      </w:r>
      <w:r>
        <w:t xml:space="preserve"> by </w:t>
      </w:r>
      <w:r w:rsidR="00954645">
        <w:t>many LGBTI</w:t>
      </w:r>
      <w:r>
        <w:t xml:space="preserve"> </w:t>
      </w:r>
      <w:r w:rsidR="000E26F1">
        <w:t>individual</w:t>
      </w:r>
      <w:r w:rsidR="00954645">
        <w:t>s</w:t>
      </w:r>
      <w:r w:rsidR="005F38CD">
        <w:t xml:space="preserve"> in the wider community</w:t>
      </w:r>
      <w:r>
        <w:t>.</w:t>
      </w:r>
    </w:p>
    <w:p w14:paraId="57CD9B39" w14:textId="2809144E" w:rsidR="00043E3F" w:rsidRDefault="00043E3F" w:rsidP="00DA4912">
      <w:pPr>
        <w:spacing w:after="0" w:line="240" w:lineRule="auto"/>
        <w:jc w:val="both"/>
        <w:rPr>
          <w:b/>
          <w:bCs/>
        </w:rPr>
      </w:pPr>
    </w:p>
    <w:p w14:paraId="6887DADC" w14:textId="41DB6D60" w:rsidR="00EB2820" w:rsidRPr="00EC5C21" w:rsidRDefault="000D0C80" w:rsidP="00533B5B">
      <w:pPr>
        <w:spacing w:after="60" w:line="240" w:lineRule="auto"/>
        <w:jc w:val="both"/>
        <w:rPr>
          <w:b/>
          <w:bCs/>
          <w:color w:val="1F3864" w:themeColor="accent1" w:themeShade="80"/>
          <w:lang w:val="en-AU"/>
        </w:rPr>
      </w:pPr>
      <w:proofErr w:type="gramStart"/>
      <w:r w:rsidRPr="00EC5C21">
        <w:rPr>
          <w:b/>
          <w:bCs/>
          <w:color w:val="1F3864" w:themeColor="accent1" w:themeShade="80"/>
          <w:lang w:val="en-AU"/>
        </w:rPr>
        <w:t>Particular Causes</w:t>
      </w:r>
      <w:proofErr w:type="gramEnd"/>
      <w:r w:rsidRPr="00EC5C21">
        <w:rPr>
          <w:b/>
          <w:bCs/>
          <w:color w:val="1F3864" w:themeColor="accent1" w:themeShade="80"/>
          <w:lang w:val="en-AU"/>
        </w:rPr>
        <w:t xml:space="preserve"> of </w:t>
      </w:r>
      <w:r w:rsidR="00981D6E" w:rsidRPr="00EC5C21">
        <w:rPr>
          <w:b/>
          <w:bCs/>
          <w:color w:val="1F3864" w:themeColor="accent1" w:themeShade="80"/>
          <w:lang w:val="en-AU"/>
        </w:rPr>
        <w:t>Intimate Partner V</w:t>
      </w:r>
      <w:r w:rsidRPr="00EC5C21">
        <w:rPr>
          <w:b/>
          <w:bCs/>
          <w:color w:val="1F3864" w:themeColor="accent1" w:themeShade="80"/>
          <w:lang w:val="en-AU"/>
        </w:rPr>
        <w:t>iolence and Abuse</w:t>
      </w:r>
    </w:p>
    <w:p w14:paraId="3EA6F6EB" w14:textId="70002A06" w:rsidR="00AA3502" w:rsidRDefault="00575D77" w:rsidP="007821BF">
      <w:pPr>
        <w:spacing w:after="0" w:line="288" w:lineRule="auto"/>
        <w:jc w:val="both"/>
      </w:pPr>
      <w:r>
        <w:t>It is reported that many of the conditions</w:t>
      </w:r>
      <w:r w:rsidR="00EB2820">
        <w:t xml:space="preserve"> which cause or aggravate violence against women in heterosexual relationships</w:t>
      </w:r>
      <w:r>
        <w:t xml:space="preserve"> also contribute to intimate partner violence in LGBTI relationships. These include</w:t>
      </w:r>
      <w:r w:rsidR="00EB2820">
        <w:t xml:space="preserve"> aggressive</w:t>
      </w:r>
      <w:r w:rsidR="001B55EE">
        <w:t>,</w:t>
      </w:r>
      <w:r w:rsidR="00EB2820">
        <w:t xml:space="preserve"> masculine attitudes and behavior, controlling behavior by a partner in a relationship, alcohol and other drug </w:t>
      </w:r>
      <w:r w:rsidR="00EB2820">
        <w:lastRenderedPageBreak/>
        <w:t>use, the childhood experience of abuse, mental health issues and other circumstances</w:t>
      </w:r>
      <w:r w:rsidR="003B65C5">
        <w:t xml:space="preserve"> -</w:t>
      </w:r>
      <w:r w:rsidR="00EB2820">
        <w:t xml:space="preserve"> (</w:t>
      </w:r>
      <w:r w:rsidR="00D973C4">
        <w:t>Balsam and Szymanski, 2005</w:t>
      </w:r>
      <w:r w:rsidR="00EB2820">
        <w:t xml:space="preserve">; </w:t>
      </w:r>
      <w:r w:rsidR="00C1111F">
        <w:t>Selinger-Morris, 2018</w:t>
      </w:r>
      <w:r w:rsidR="00EB2820">
        <w:t xml:space="preserve">; </w:t>
      </w:r>
      <w:r w:rsidR="00D973C4">
        <w:t>Lewis et al, 2016</w:t>
      </w:r>
      <w:r w:rsidR="00EB2820">
        <w:t xml:space="preserve">; </w:t>
      </w:r>
      <w:r w:rsidR="00D973C4">
        <w:t>Goldenberg et al, 2016</w:t>
      </w:r>
      <w:r w:rsidR="001954A0">
        <w:t xml:space="preserve">; </w:t>
      </w:r>
      <w:r w:rsidR="003810DB">
        <w:t>Our Watch, 2017</w:t>
      </w:r>
      <w:r w:rsidR="00EB2820">
        <w:t>).</w:t>
      </w:r>
    </w:p>
    <w:p w14:paraId="3CA4BE50" w14:textId="19A38D04" w:rsidR="003B65C5" w:rsidRDefault="003B65C5" w:rsidP="007821BF">
      <w:pPr>
        <w:spacing w:after="0" w:line="288" w:lineRule="auto"/>
        <w:jc w:val="both"/>
      </w:pPr>
      <w:r>
        <w:t>However</w:t>
      </w:r>
      <w:r w:rsidR="00AA3502">
        <w:t>,</w:t>
      </w:r>
      <w:r>
        <w:t xml:space="preserve"> </w:t>
      </w:r>
      <w:r w:rsidR="00AA3502">
        <w:t>investigators also identify</w:t>
      </w:r>
      <w:r>
        <w:t xml:space="preserve"> </w:t>
      </w:r>
      <w:r w:rsidR="00575D77">
        <w:t>conditions</w:t>
      </w:r>
      <w:r w:rsidR="00F14288">
        <w:t xml:space="preserve"> </w:t>
      </w:r>
      <w:r w:rsidR="00BE068A">
        <w:t xml:space="preserve">which are largely specific to LGBTI people, and </w:t>
      </w:r>
      <w:r w:rsidR="00F14288">
        <w:t>which</w:t>
      </w:r>
      <w:r w:rsidR="00AA3502">
        <w:t xml:space="preserve"> may</w:t>
      </w:r>
      <w:r w:rsidR="00876388">
        <w:t xml:space="preserve"> </w:t>
      </w:r>
      <w:r w:rsidR="0026786A">
        <w:t xml:space="preserve">contribute to </w:t>
      </w:r>
      <w:r w:rsidR="00876388">
        <w:t>intimate partner violence</w:t>
      </w:r>
      <w:r w:rsidR="00AA3502">
        <w:t xml:space="preserve">. </w:t>
      </w:r>
      <w:r w:rsidR="0026786A">
        <w:t>One fr</w:t>
      </w:r>
      <w:r w:rsidR="00AA3502">
        <w:t xml:space="preserve">amework intended to </w:t>
      </w:r>
      <w:r w:rsidR="00F14288">
        <w:t>offer some explanation of</w:t>
      </w:r>
      <w:r w:rsidR="00AA3502">
        <w:t xml:space="preserve"> such abuse emphasizes</w:t>
      </w:r>
      <w:r>
        <w:t xml:space="preserve"> the </w:t>
      </w:r>
      <w:r w:rsidR="00F14288">
        <w:t>influence</w:t>
      </w:r>
      <w:r w:rsidR="00876388">
        <w:t xml:space="preserve"> of</w:t>
      </w:r>
      <w:r>
        <w:t xml:space="preserve"> traditional ideas about male and female gender roles and </w:t>
      </w:r>
      <w:proofErr w:type="gramStart"/>
      <w:r>
        <w:t>status</w:t>
      </w:r>
      <w:r w:rsidR="0026786A">
        <w:t>, and</w:t>
      </w:r>
      <w:proofErr w:type="gramEnd"/>
      <w:r w:rsidR="0026786A">
        <w:t xml:space="preserve"> accompanying homophobic attitudes. Another framework</w:t>
      </w:r>
      <w:r w:rsidR="008B4E1B">
        <w:t xml:space="preserve"> </w:t>
      </w:r>
      <w:r w:rsidR="0026786A">
        <w:t>postulates that</w:t>
      </w:r>
      <w:r>
        <w:t xml:space="preserve"> </w:t>
      </w:r>
      <w:r w:rsidR="008B4E1B">
        <w:t xml:space="preserve">personal </w:t>
      </w:r>
      <w:r>
        <w:t>stress occasioned by discrimination, harassment and violence directed toward LBGTI individuals</w:t>
      </w:r>
      <w:r w:rsidR="0026786A">
        <w:t xml:space="preserve">, </w:t>
      </w:r>
      <w:r w:rsidR="00F75C51">
        <w:t xml:space="preserve">may </w:t>
      </w:r>
      <w:r w:rsidR="001B55EE">
        <w:t xml:space="preserve">occasionally </w:t>
      </w:r>
      <w:r w:rsidR="00F75C51">
        <w:t>fuel</w:t>
      </w:r>
      <w:r w:rsidR="0026786A">
        <w:t xml:space="preserve"> violence within</w:t>
      </w:r>
      <w:r w:rsidR="003377BE">
        <w:t xml:space="preserve"> their</w:t>
      </w:r>
      <w:r w:rsidR="0026786A">
        <w:t xml:space="preserve"> relationships</w:t>
      </w:r>
      <w:r>
        <w:t>.</w:t>
      </w:r>
    </w:p>
    <w:p w14:paraId="63705455" w14:textId="33F86C87" w:rsidR="003075FD" w:rsidRPr="000E26F1" w:rsidRDefault="009144BB" w:rsidP="000F756B">
      <w:pPr>
        <w:spacing w:before="60" w:after="40" w:line="240" w:lineRule="auto"/>
        <w:jc w:val="both"/>
        <w:rPr>
          <w:i/>
          <w:iCs/>
        </w:rPr>
      </w:pPr>
      <w:r>
        <w:rPr>
          <w:i/>
          <w:iCs/>
        </w:rPr>
        <w:t>The influence of traditional ideas about gender status and roles</w:t>
      </w:r>
    </w:p>
    <w:p w14:paraId="6AB29BA1" w14:textId="70C48800" w:rsidR="003075FD" w:rsidRDefault="003075FD" w:rsidP="007821BF">
      <w:pPr>
        <w:spacing w:after="0" w:line="288" w:lineRule="auto"/>
        <w:jc w:val="both"/>
      </w:pPr>
      <w:r>
        <w:t xml:space="preserve">A number of </w:t>
      </w:r>
      <w:r w:rsidR="000E26F1">
        <w:t>commentators</w:t>
      </w:r>
      <w:r>
        <w:t xml:space="preserve"> maintain that </w:t>
      </w:r>
      <w:r w:rsidR="009144BB">
        <w:t>conventional notions</w:t>
      </w:r>
      <w:r w:rsidR="00F14288">
        <w:t xml:space="preserve"> about</w:t>
      </w:r>
      <w:r>
        <w:t xml:space="preserve"> the superior status and role of men, their entitlement to exert power and control within relationships, and </w:t>
      </w:r>
      <w:r w:rsidR="000E26F1">
        <w:t>attitudes</w:t>
      </w:r>
      <w:r>
        <w:t xml:space="preserve"> </w:t>
      </w:r>
      <w:r w:rsidR="00876388">
        <w:t>which</w:t>
      </w:r>
      <w:r>
        <w:t xml:space="preserve"> sanction or excuse violence by men, not </w:t>
      </w:r>
      <w:r w:rsidR="000E26F1">
        <w:t>only</w:t>
      </w:r>
      <w:r>
        <w:t xml:space="preserve"> contribute to </w:t>
      </w:r>
      <w:r w:rsidR="00F72B3F">
        <w:t>the</w:t>
      </w:r>
      <w:r>
        <w:t xml:space="preserve"> abuse of women in heterosexual </w:t>
      </w:r>
      <w:r w:rsidR="000E26F1">
        <w:t>relationships</w:t>
      </w:r>
      <w:r>
        <w:t xml:space="preserve">, but also </w:t>
      </w:r>
      <w:r w:rsidR="008B4E1B">
        <w:t>enkindle</w:t>
      </w:r>
      <w:r>
        <w:t xml:space="preserve"> </w:t>
      </w:r>
      <w:r w:rsidR="00952EDE">
        <w:t xml:space="preserve">homophobic </w:t>
      </w:r>
      <w:r w:rsidR="000E26F1">
        <w:t>attitudes</w:t>
      </w:r>
      <w:r w:rsidR="00952EDE">
        <w:t xml:space="preserve"> and </w:t>
      </w:r>
      <w:r w:rsidR="003377BE">
        <w:t xml:space="preserve">intimate partner </w:t>
      </w:r>
      <w:r w:rsidR="00952EDE">
        <w:t xml:space="preserve">violence </w:t>
      </w:r>
      <w:r w:rsidR="003377BE">
        <w:t>among some</w:t>
      </w:r>
      <w:r w:rsidR="00952EDE">
        <w:t xml:space="preserve"> LGBTI people (</w:t>
      </w:r>
      <w:r w:rsidR="002356AE">
        <w:t>Brown, 2017A</w:t>
      </w:r>
      <w:r w:rsidR="00952EDE">
        <w:t>; Fairchild, 2</w:t>
      </w:r>
      <w:r w:rsidR="004F1B41">
        <w:t>0</w:t>
      </w:r>
      <w:r w:rsidR="00952EDE">
        <w:t xml:space="preserve">20). </w:t>
      </w:r>
    </w:p>
    <w:p w14:paraId="69AAD01E" w14:textId="2A3676F3" w:rsidR="00876388" w:rsidRDefault="00952EDE" w:rsidP="007821BF">
      <w:pPr>
        <w:spacing w:after="0" w:line="288" w:lineRule="auto"/>
        <w:jc w:val="both"/>
      </w:pPr>
      <w:r>
        <w:t xml:space="preserve">Indeed, evidence </w:t>
      </w:r>
      <w:r w:rsidR="008B4E1B">
        <w:t>appears to show</w:t>
      </w:r>
      <w:r>
        <w:t xml:space="preserve"> that </w:t>
      </w:r>
      <w:r w:rsidR="001953AB">
        <w:t xml:space="preserve">many </w:t>
      </w:r>
      <w:r w:rsidR="009144BB">
        <w:t xml:space="preserve">LGBTI adults </w:t>
      </w:r>
      <w:r>
        <w:t>exhibit</w:t>
      </w:r>
      <w:r w:rsidR="00F75C51">
        <w:t xml:space="preserve"> some</w:t>
      </w:r>
      <w:r>
        <w:t xml:space="preserve"> of the characteristics associated with a traditional conception of male attitudes and </w:t>
      </w:r>
      <w:r w:rsidR="000E26F1">
        <w:t>behavior</w:t>
      </w:r>
      <w:r>
        <w:t xml:space="preserve">. In the 2019 ‘Man Box’ survey of young Australian men, </w:t>
      </w:r>
      <w:r w:rsidR="00876388">
        <w:t>published</w:t>
      </w:r>
      <w:r>
        <w:t xml:space="preserve"> by Jesuit Social </w:t>
      </w:r>
      <w:r w:rsidR="000E26F1">
        <w:t>Services, the</w:t>
      </w:r>
      <w:r>
        <w:t xml:space="preserve"> overall score assigned to survey </w:t>
      </w:r>
      <w:r w:rsidR="000E26F1">
        <w:t>participants</w:t>
      </w:r>
      <w:r>
        <w:t xml:space="preserve"> </w:t>
      </w:r>
      <w:r w:rsidR="008B4E1B">
        <w:softHyphen/>
      </w:r>
      <w:r>
        <w:t xml:space="preserve"> based upon the extent to which they </w:t>
      </w:r>
      <w:r w:rsidR="00BE068A">
        <w:t>professed</w:t>
      </w:r>
      <w:r>
        <w:t xml:space="preserve"> </w:t>
      </w:r>
      <w:r w:rsidR="000E26F1">
        <w:t>traditional</w:t>
      </w:r>
      <w:r>
        <w:t xml:space="preserve"> </w:t>
      </w:r>
      <w:r w:rsidR="00BE068A">
        <w:t>beliefs</w:t>
      </w:r>
      <w:r>
        <w:t xml:space="preserve"> </w:t>
      </w:r>
      <w:r w:rsidR="001953AB">
        <w:t>a</w:t>
      </w:r>
      <w:r>
        <w:t xml:space="preserve">bout masculine identity </w:t>
      </w:r>
      <w:r w:rsidR="000E26F1">
        <w:t>and</w:t>
      </w:r>
      <w:r>
        <w:t xml:space="preserve"> </w:t>
      </w:r>
      <w:r w:rsidR="000E26F1">
        <w:t>behavior</w:t>
      </w:r>
      <w:r w:rsidR="008B4E1B">
        <w:t xml:space="preserve"> </w:t>
      </w:r>
      <w:r w:rsidR="00F72B3F">
        <w:t xml:space="preserve">- </w:t>
      </w:r>
      <w:r w:rsidR="00BE068A">
        <w:t>averaged</w:t>
      </w:r>
      <w:r>
        <w:t xml:space="preserve"> </w:t>
      </w:r>
      <w:r w:rsidR="00876388">
        <w:t xml:space="preserve">30.1 </w:t>
      </w:r>
      <w:r>
        <w:t xml:space="preserve">among LGBTI survey participants, </w:t>
      </w:r>
      <w:r w:rsidR="00876388">
        <w:t>similar to</w:t>
      </w:r>
      <w:r>
        <w:t xml:space="preserve"> the corresponding average for heterosexual men, of 35.1 (</w:t>
      </w:r>
      <w:r w:rsidR="00AA1180">
        <w:t>VicHealth, 2020</w:t>
      </w:r>
      <w:r>
        <w:t xml:space="preserve">). </w:t>
      </w:r>
      <w:r w:rsidR="008D2C3B">
        <w:t>As Kai Noonan, of the AIDS Council of NSW, observes: “Gender inequality and patriarchy still effect our relationships as well, because we exist in the same society with the same message” (</w:t>
      </w:r>
      <w:r w:rsidR="00E924CD">
        <w:t xml:space="preserve">cited in </w:t>
      </w:r>
      <w:r w:rsidR="00C1111F">
        <w:t>Selinger-Morris, 2018</w:t>
      </w:r>
      <w:r w:rsidR="008D2C3B">
        <w:t>).</w:t>
      </w:r>
    </w:p>
    <w:p w14:paraId="1A3C9063" w14:textId="067E1A41" w:rsidR="00876388" w:rsidRDefault="00733FE7" w:rsidP="007821BF">
      <w:pPr>
        <w:spacing w:after="0" w:line="288" w:lineRule="auto"/>
        <w:jc w:val="both"/>
      </w:pPr>
      <w:r>
        <w:t>Jeffries and Ball</w:t>
      </w:r>
      <w:r w:rsidR="00E07E84">
        <w:t xml:space="preserve"> (2</w:t>
      </w:r>
      <w:r>
        <w:t>008</w:t>
      </w:r>
      <w:r w:rsidR="00E07E84">
        <w:t>)</w:t>
      </w:r>
      <w:r w:rsidR="00952EDE">
        <w:t xml:space="preserve"> </w:t>
      </w:r>
      <w:r w:rsidR="00F14288">
        <w:t xml:space="preserve">perceive a link between such </w:t>
      </w:r>
      <w:r w:rsidR="009144BB">
        <w:t>traditional perceptions of masculinity</w:t>
      </w:r>
      <w:r w:rsidR="00003792">
        <w:t>,</w:t>
      </w:r>
      <w:r w:rsidR="00F14288">
        <w:t xml:space="preserve"> and intimate partner violence, contending</w:t>
      </w:r>
      <w:r w:rsidR="008B4E1B">
        <w:t xml:space="preserve"> </w:t>
      </w:r>
      <w:r w:rsidR="00952EDE">
        <w:t xml:space="preserve">that men with ‘stronger masculine identities’ exhibit a greater </w:t>
      </w:r>
      <w:r w:rsidR="000E26F1">
        <w:t>propensity</w:t>
      </w:r>
      <w:r w:rsidR="00952EDE">
        <w:t xml:space="preserve"> toward violence within LGBTI relationships</w:t>
      </w:r>
      <w:r w:rsidR="00F72B3F">
        <w:t>,</w:t>
      </w:r>
      <w:r w:rsidR="00952EDE">
        <w:t xml:space="preserve"> than others</w:t>
      </w:r>
      <w:r w:rsidR="00876388">
        <w:t xml:space="preserve">. </w:t>
      </w:r>
      <w:r w:rsidR="00106B93">
        <w:t xml:space="preserve">Within lesbian relationships on the other hand, </w:t>
      </w:r>
      <w:r w:rsidR="003377BE">
        <w:t xml:space="preserve">it has been </w:t>
      </w:r>
      <w:r w:rsidR="00ED631B">
        <w:t>surmised</w:t>
      </w:r>
      <w:r w:rsidR="00876388">
        <w:t xml:space="preserve"> </w:t>
      </w:r>
      <w:r w:rsidR="00952EDE">
        <w:t xml:space="preserve">that abuse is a </w:t>
      </w:r>
      <w:r w:rsidR="000E26F1">
        <w:t>consequence</w:t>
      </w:r>
      <w:r w:rsidR="00952EDE">
        <w:t xml:space="preserve"> of the “…the </w:t>
      </w:r>
      <w:r w:rsidR="000E26F1">
        <w:t>assimilation</w:t>
      </w:r>
      <w:r w:rsidR="00952EDE">
        <w:t xml:space="preserve"> among lesbian women, of misogyny and homophobia”, </w:t>
      </w:r>
      <w:r w:rsidR="00A606CE">
        <w:t xml:space="preserve">which may find expression in the form of </w:t>
      </w:r>
      <w:r w:rsidR="000E26F1">
        <w:t>violence</w:t>
      </w:r>
      <w:r w:rsidR="00952EDE">
        <w:t xml:space="preserve"> against their </w:t>
      </w:r>
      <w:r w:rsidR="000E26F1">
        <w:t>partners</w:t>
      </w:r>
      <w:r w:rsidR="00876388">
        <w:t xml:space="preserve"> (</w:t>
      </w:r>
      <w:r w:rsidR="00BF57B7">
        <w:t>Rolle et al, 2018</w:t>
      </w:r>
      <w:r w:rsidR="00876388">
        <w:t>)</w:t>
      </w:r>
      <w:r w:rsidR="00952EDE">
        <w:t>.</w:t>
      </w:r>
      <w:r w:rsidR="00F14288">
        <w:rPr>
          <w:rStyle w:val="FootnoteReference"/>
        </w:rPr>
        <w:footnoteReference w:id="1"/>
      </w:r>
    </w:p>
    <w:p w14:paraId="472BA2C8" w14:textId="417A6970" w:rsidR="00952EDE" w:rsidRDefault="00E07E84" w:rsidP="007821BF">
      <w:pPr>
        <w:spacing w:after="0" w:line="288" w:lineRule="auto"/>
        <w:jc w:val="both"/>
      </w:pPr>
      <w:r>
        <w:t>It is proposed</w:t>
      </w:r>
      <w:r w:rsidR="00952EDE">
        <w:t xml:space="preserve"> that </w:t>
      </w:r>
      <w:r w:rsidR="00A93DAA">
        <w:t xml:space="preserve">the </w:t>
      </w:r>
      <w:r w:rsidR="00ED631B">
        <w:t>possibility</w:t>
      </w:r>
      <w:r w:rsidR="00952EDE">
        <w:t xml:space="preserve"> </w:t>
      </w:r>
      <w:r w:rsidR="000E26F1">
        <w:t>that</w:t>
      </w:r>
      <w:r w:rsidR="00952EDE">
        <w:t xml:space="preserve"> </w:t>
      </w:r>
      <w:r w:rsidR="00A93DAA">
        <w:t xml:space="preserve">aggressive, homophobic ideas about male identity </w:t>
      </w:r>
      <w:r w:rsidR="00952EDE">
        <w:t xml:space="preserve">contribute to </w:t>
      </w:r>
      <w:r w:rsidR="000E26F1">
        <w:t>violence</w:t>
      </w:r>
      <w:r w:rsidR="00952EDE">
        <w:t xml:space="preserve"> within </w:t>
      </w:r>
      <w:r w:rsidR="00876388">
        <w:t xml:space="preserve">both </w:t>
      </w:r>
      <w:r w:rsidR="000E26F1">
        <w:t>heterosexual</w:t>
      </w:r>
      <w:r w:rsidR="00952EDE">
        <w:t xml:space="preserve"> and LGBTI relationships, </w:t>
      </w:r>
      <w:r w:rsidR="00876388">
        <w:t>represents</w:t>
      </w:r>
      <w:r w:rsidR="00952EDE">
        <w:t xml:space="preserve"> a </w:t>
      </w:r>
      <w:r w:rsidR="00876388">
        <w:t>single</w:t>
      </w:r>
      <w:r w:rsidR="00952EDE">
        <w:t xml:space="preserve"> </w:t>
      </w:r>
      <w:r w:rsidR="00876388">
        <w:t>unifying</w:t>
      </w:r>
      <w:r w:rsidR="00952EDE">
        <w:t xml:space="preserve"> </w:t>
      </w:r>
      <w:r w:rsidR="00876388">
        <w:t>origin</w:t>
      </w:r>
      <w:r w:rsidR="00952EDE">
        <w:t xml:space="preserve"> of </w:t>
      </w:r>
      <w:r w:rsidR="00A606CE">
        <w:t>intimate partner violence</w:t>
      </w:r>
      <w:r w:rsidR="00C117F5">
        <w:t>,</w:t>
      </w:r>
      <w:r w:rsidR="00952EDE">
        <w:t xml:space="preserve"> and</w:t>
      </w:r>
      <w:r w:rsidR="00C117F5">
        <w:t xml:space="preserve"> forms</w:t>
      </w:r>
      <w:r w:rsidR="00952EDE">
        <w:t xml:space="preserve"> a common cause for the feminist and </w:t>
      </w:r>
      <w:r w:rsidR="000025AC">
        <w:t>LGBTI</w:t>
      </w:r>
      <w:r w:rsidR="00952EDE">
        <w:t xml:space="preserve"> rights movements</w:t>
      </w:r>
      <w:r w:rsidR="000025AC">
        <w:t xml:space="preserve"> (Fairchild, 2020)</w:t>
      </w:r>
      <w:r w:rsidR="00952EDE">
        <w:t xml:space="preserve">. </w:t>
      </w:r>
      <w:r w:rsidR="000025AC">
        <w:t>Carman et al (2020)</w:t>
      </w:r>
      <w:r w:rsidR="00A606CE">
        <w:t xml:space="preserve"> also see</w:t>
      </w:r>
      <w:r w:rsidR="000025AC">
        <w:t xml:space="preserve"> </w:t>
      </w:r>
      <w:r w:rsidR="00A93DAA">
        <w:t>parallels</w:t>
      </w:r>
      <w:r w:rsidR="00952EDE">
        <w:t xml:space="preserve"> in the </w:t>
      </w:r>
      <w:r w:rsidR="000E26F1">
        <w:t>influence</w:t>
      </w:r>
      <w:r w:rsidR="00952EDE">
        <w:t xml:space="preserve"> of </w:t>
      </w:r>
      <w:r w:rsidR="000E26F1">
        <w:t>conventional</w:t>
      </w:r>
      <w:r w:rsidR="00952EDE">
        <w:t xml:space="preserve"> notions of masculinity</w:t>
      </w:r>
      <w:r w:rsidR="00041756">
        <w:t xml:space="preserve"> upon violence within heterosexual and LGBTI </w:t>
      </w:r>
      <w:r w:rsidR="0029540B">
        <w:t>relationships</w:t>
      </w:r>
      <w:r w:rsidR="0088089A">
        <w:t>.</w:t>
      </w:r>
    </w:p>
    <w:p w14:paraId="7E96989D" w14:textId="77439D96" w:rsidR="008B262F" w:rsidRDefault="008B262F" w:rsidP="007821BF">
      <w:pPr>
        <w:spacing w:after="0" w:line="288" w:lineRule="auto"/>
        <w:jc w:val="both"/>
      </w:pPr>
      <w:r>
        <w:t>It is not clear</w:t>
      </w:r>
      <w:r w:rsidR="0029540B">
        <w:t xml:space="preserve"> though,</w:t>
      </w:r>
      <w:r>
        <w:t xml:space="preserve"> how this </w:t>
      </w:r>
      <w:r w:rsidR="000025AC">
        <w:t>framework</w:t>
      </w:r>
      <w:r>
        <w:t xml:space="preserve"> would account for the higher </w:t>
      </w:r>
      <w:r w:rsidR="00F75C51">
        <w:t>rate</w:t>
      </w:r>
      <w:r>
        <w:t xml:space="preserve"> of violence within lesbian relationships</w:t>
      </w:r>
      <w:r w:rsidR="00A93DAA">
        <w:t>,</w:t>
      </w:r>
      <w:r>
        <w:t xml:space="preserve"> when the prevalence of attitudes which accord higher status to men is markedly lower among women </w:t>
      </w:r>
      <w:r w:rsidR="00F75C51">
        <w:t xml:space="preserve">than </w:t>
      </w:r>
      <w:r>
        <w:t>men</w:t>
      </w:r>
      <w:r w:rsidR="001953AB" w:rsidRPr="002B7A81">
        <w:rPr>
          <w:sz w:val="14"/>
          <w:szCs w:val="14"/>
        </w:rPr>
        <w:footnoteReference w:id="2"/>
      </w:r>
      <w:r>
        <w:t xml:space="preserve">, </w:t>
      </w:r>
      <w:r w:rsidR="00A93DAA">
        <w:t>yet</w:t>
      </w:r>
      <w:r>
        <w:t xml:space="preserve"> violence within LGBTI relationships appears to be </w:t>
      </w:r>
      <w:r w:rsidR="00F75C51">
        <w:t>more widespread</w:t>
      </w:r>
      <w:r>
        <w:t xml:space="preserve"> among people identifying as women.</w:t>
      </w:r>
    </w:p>
    <w:p w14:paraId="00321741" w14:textId="516DCA41" w:rsidR="0088089A" w:rsidRDefault="008B262F" w:rsidP="007821BF">
      <w:pPr>
        <w:spacing w:after="0" w:line="288" w:lineRule="auto"/>
        <w:jc w:val="both"/>
      </w:pPr>
      <w:r>
        <w:lastRenderedPageBreak/>
        <w:t xml:space="preserve">In any case, </w:t>
      </w:r>
      <w:r w:rsidR="0029540B">
        <w:t xml:space="preserve">not all researchers concur with the prominence given to </w:t>
      </w:r>
      <w:r w:rsidR="00ED631B">
        <w:t>conventional ideas about male status, roles and entitlement</w:t>
      </w:r>
      <w:r w:rsidR="0029540B">
        <w:t xml:space="preserve"> in this explanation of relationship violence</w:t>
      </w:r>
      <w:r w:rsidR="0088089A">
        <w:t xml:space="preserve">. </w:t>
      </w:r>
      <w:r w:rsidR="00770866">
        <w:t>Lyons</w:t>
      </w:r>
      <w:r w:rsidR="00C1111F">
        <w:t xml:space="preserve"> (</w:t>
      </w:r>
      <w:r w:rsidR="00770866">
        <w:t>2018</w:t>
      </w:r>
      <w:r w:rsidR="00C1111F">
        <w:t>)</w:t>
      </w:r>
      <w:r w:rsidR="0088089A">
        <w:t xml:space="preserve"> cite</w:t>
      </w:r>
      <w:r>
        <w:t>s</w:t>
      </w:r>
      <w:r w:rsidR="0088089A">
        <w:t xml:space="preserve"> Dr </w:t>
      </w:r>
      <w:r w:rsidR="000E26F1">
        <w:t>Cornelisse</w:t>
      </w:r>
      <w:r w:rsidR="0088089A">
        <w:t xml:space="preserve">, a physician specializing in LGBTI health, who observes that “…power </w:t>
      </w:r>
      <w:r w:rsidR="000E26F1">
        <w:t>dynamics</w:t>
      </w:r>
      <w:r w:rsidR="0088089A">
        <w:t xml:space="preserve"> within relationships are not always determined by gender.” </w:t>
      </w:r>
      <w:r>
        <w:t xml:space="preserve">Like-minded, </w:t>
      </w:r>
      <w:r w:rsidR="0088089A">
        <w:t xml:space="preserve">Lettelier (1994) </w:t>
      </w:r>
      <w:r w:rsidR="00940EB3">
        <w:t xml:space="preserve">earlier </w:t>
      </w:r>
      <w:r w:rsidR="00E42E74">
        <w:t>advance</w:t>
      </w:r>
      <w:r w:rsidR="00A93DAA">
        <w:t>d</w:t>
      </w:r>
      <w:r w:rsidR="00E42E74">
        <w:t xml:space="preserve"> the proposition</w:t>
      </w:r>
      <w:r w:rsidR="0088089A">
        <w:t xml:space="preserve"> that conditions which maintain </w:t>
      </w:r>
      <w:r w:rsidR="000E26F1">
        <w:t>male</w:t>
      </w:r>
      <w:r w:rsidR="0088089A">
        <w:t xml:space="preserve"> power and </w:t>
      </w:r>
      <w:r w:rsidR="000E26F1">
        <w:t>privilege</w:t>
      </w:r>
      <w:r w:rsidR="0088089A">
        <w:t xml:space="preserve"> </w:t>
      </w:r>
      <w:r>
        <w:t>were</w:t>
      </w:r>
      <w:r w:rsidR="0088089A">
        <w:t xml:space="preserve"> </w:t>
      </w:r>
      <w:r w:rsidR="000E26F1">
        <w:t>insufficient</w:t>
      </w:r>
      <w:r w:rsidR="0088089A">
        <w:t xml:space="preserve"> alone to explain violence within </w:t>
      </w:r>
      <w:r w:rsidR="00A93DAA">
        <w:t xml:space="preserve">LGBTI </w:t>
      </w:r>
      <w:r w:rsidR="0088089A">
        <w:t xml:space="preserve">relationships, </w:t>
      </w:r>
      <w:r w:rsidR="005A57F0">
        <w:t>instead identifying</w:t>
      </w:r>
      <w:r w:rsidR="0088089A">
        <w:t xml:space="preserve">, “…the use of violence to maintain power and control of one’s partner” as </w:t>
      </w:r>
      <w:r w:rsidR="00D13411">
        <w:t>a cause</w:t>
      </w:r>
      <w:r w:rsidR="0088089A">
        <w:t>.</w:t>
      </w:r>
    </w:p>
    <w:p w14:paraId="14FC758F" w14:textId="1F647A7A" w:rsidR="0088089A" w:rsidRPr="008B262F" w:rsidRDefault="009144BB" w:rsidP="001869C9">
      <w:pPr>
        <w:spacing w:before="240" w:after="40" w:line="240" w:lineRule="auto"/>
        <w:jc w:val="both"/>
        <w:rPr>
          <w:i/>
          <w:iCs/>
        </w:rPr>
      </w:pPr>
      <w:r>
        <w:rPr>
          <w:i/>
          <w:iCs/>
        </w:rPr>
        <w:t>The impact of personal</w:t>
      </w:r>
      <w:r w:rsidR="0088089A" w:rsidRPr="008B262F">
        <w:rPr>
          <w:i/>
          <w:iCs/>
        </w:rPr>
        <w:t xml:space="preserve"> stress</w:t>
      </w:r>
    </w:p>
    <w:p w14:paraId="3C43D545" w14:textId="6BE6F964" w:rsidR="0088089A" w:rsidRDefault="006D4B58" w:rsidP="007821BF">
      <w:pPr>
        <w:spacing w:after="0" w:line="288" w:lineRule="auto"/>
        <w:jc w:val="both"/>
      </w:pPr>
      <w:r>
        <w:t xml:space="preserve">A further line of reasoning </w:t>
      </w:r>
      <w:r w:rsidR="007E1922">
        <w:t>contends</w:t>
      </w:r>
      <w:r>
        <w:t xml:space="preserve"> that </w:t>
      </w:r>
      <w:r w:rsidR="00F75C51">
        <w:t>prejudice</w:t>
      </w:r>
      <w:r>
        <w:t xml:space="preserve"> against LGBTI people </w:t>
      </w:r>
      <w:r w:rsidR="000E26F1">
        <w:t>contributes</w:t>
      </w:r>
      <w:r>
        <w:t xml:space="preserve"> to personal </w:t>
      </w:r>
      <w:r w:rsidR="000E26F1">
        <w:t>stress</w:t>
      </w:r>
      <w:r>
        <w:t xml:space="preserve">, </w:t>
      </w:r>
      <w:r w:rsidR="000025AC">
        <w:t>while promoting</w:t>
      </w:r>
      <w:r>
        <w:t xml:space="preserve"> the </w:t>
      </w:r>
      <w:r w:rsidR="000E26F1">
        <w:t>concealment</w:t>
      </w:r>
      <w:r>
        <w:t xml:space="preserve"> of </w:t>
      </w:r>
      <w:r w:rsidR="000E26F1">
        <w:t>identity</w:t>
      </w:r>
      <w:r>
        <w:t xml:space="preserve"> and the assimilation of homo-, bi- and trans</w:t>
      </w:r>
      <w:r w:rsidR="002B7A81">
        <w:t>-</w:t>
      </w:r>
      <w:r>
        <w:t>sexual attitudes</w:t>
      </w:r>
      <w:r w:rsidR="000025AC">
        <w:t xml:space="preserve">. It is </w:t>
      </w:r>
      <w:r w:rsidR="00ED631B">
        <w:t>claimed that</w:t>
      </w:r>
      <w:r w:rsidR="009D1483">
        <w:t xml:space="preserve"> </w:t>
      </w:r>
      <w:r w:rsidR="000025AC">
        <w:t>these conditions</w:t>
      </w:r>
      <w:r>
        <w:t xml:space="preserve"> </w:t>
      </w:r>
      <w:r w:rsidR="000E26F1">
        <w:t>contribute</w:t>
      </w:r>
      <w:r>
        <w:t xml:space="preserve"> to </w:t>
      </w:r>
      <w:r w:rsidR="0029540B">
        <w:t>relationship violence</w:t>
      </w:r>
      <w:r>
        <w:t>.</w:t>
      </w:r>
    </w:p>
    <w:p w14:paraId="6184821F" w14:textId="30BF49D2" w:rsidR="0029540B" w:rsidRDefault="009144BB" w:rsidP="007821BF">
      <w:pPr>
        <w:spacing w:after="0" w:line="288" w:lineRule="auto"/>
        <w:jc w:val="both"/>
      </w:pPr>
      <w:r>
        <w:t>This proposed sequence of events has its origin in</w:t>
      </w:r>
      <w:r w:rsidR="008B262F">
        <w:t xml:space="preserve"> the discrimination, exclusion and violence </w:t>
      </w:r>
      <w:r w:rsidR="00A93DAA">
        <w:t>inflicted upon</w:t>
      </w:r>
      <w:r w:rsidR="008B262F">
        <w:t xml:space="preserve"> many LGBTI individuals </w:t>
      </w:r>
      <w:r w:rsidR="000025AC">
        <w:t>in</w:t>
      </w:r>
      <w:r w:rsidR="008B262F">
        <w:t xml:space="preserve"> their family of origin, school, sport, work and </w:t>
      </w:r>
      <w:r w:rsidR="00A93DAA">
        <w:t>the broader community</w:t>
      </w:r>
      <w:r w:rsidR="008B262F">
        <w:t xml:space="preserve">. </w:t>
      </w:r>
      <w:r w:rsidR="006D4B58">
        <w:t xml:space="preserve">An abundance of evidence attests to the </w:t>
      </w:r>
      <w:r w:rsidR="00A93DAA">
        <w:t>prevalence</w:t>
      </w:r>
      <w:r w:rsidR="007E1922">
        <w:t xml:space="preserve"> and impact</w:t>
      </w:r>
      <w:r w:rsidR="00A93DAA">
        <w:t xml:space="preserve"> of such abuse</w:t>
      </w:r>
      <w:r w:rsidR="006D4B58">
        <w:t xml:space="preserve"> (</w:t>
      </w:r>
      <w:r w:rsidR="00D973C4">
        <w:t>Edwards and Sylaska, 2013</w:t>
      </w:r>
      <w:r w:rsidR="00230B66">
        <w:t>; National LGBT Health Alliance, 2009</w:t>
      </w:r>
      <w:r w:rsidR="006D4B58">
        <w:t xml:space="preserve">). </w:t>
      </w:r>
    </w:p>
    <w:p w14:paraId="725B8CFB" w14:textId="666BC76E" w:rsidR="00F75C51" w:rsidRDefault="006D4B58" w:rsidP="007821BF">
      <w:pPr>
        <w:spacing w:after="0" w:line="288" w:lineRule="auto"/>
        <w:jc w:val="both"/>
      </w:pPr>
      <w:r>
        <w:t xml:space="preserve">Many young people experience </w:t>
      </w:r>
      <w:r w:rsidR="000E26F1">
        <w:t>antagonism</w:t>
      </w:r>
      <w:r>
        <w:t xml:space="preserve"> and aggression within their families</w:t>
      </w:r>
      <w:r w:rsidR="009144BB">
        <w:t>,</w:t>
      </w:r>
      <w:r w:rsidR="00A93DAA">
        <w:t xml:space="preserve"> </w:t>
      </w:r>
      <w:r w:rsidR="009144BB">
        <w:t>stemming from</w:t>
      </w:r>
      <w:r w:rsidR="00A93DAA">
        <w:t xml:space="preserve"> their gender identity or sexuality</w:t>
      </w:r>
      <w:r>
        <w:t xml:space="preserve"> (</w:t>
      </w:r>
      <w:r w:rsidR="00C1111F">
        <w:t>Family and Community Services, undated</w:t>
      </w:r>
      <w:r>
        <w:t>; Fairchild, 2020), a</w:t>
      </w:r>
      <w:r w:rsidR="009144BB">
        <w:t xml:space="preserve">n experience </w:t>
      </w:r>
      <w:r>
        <w:t xml:space="preserve">often </w:t>
      </w:r>
      <w:r w:rsidR="009144BB">
        <w:t>accentuated</w:t>
      </w:r>
      <w:r>
        <w:t xml:space="preserve"> within particular cultural </w:t>
      </w:r>
      <w:r w:rsidR="009D1483">
        <w:t>groups</w:t>
      </w:r>
      <w:r>
        <w:t xml:space="preserve"> (</w:t>
      </w:r>
      <w:r w:rsidR="00D973C4">
        <w:t>National LGBT Health Alliance, 2009</w:t>
      </w:r>
      <w:r>
        <w:t>).</w:t>
      </w:r>
      <w:r w:rsidR="0029540B">
        <w:t xml:space="preserve"> </w:t>
      </w:r>
      <w:r w:rsidR="001954A0">
        <w:t>Smith et al (2014)</w:t>
      </w:r>
      <w:r w:rsidR="007E1922">
        <w:t xml:space="preserve"> for example,</w:t>
      </w:r>
      <w:r w:rsidR="001954A0">
        <w:t xml:space="preserve"> found that a quarter of a sample of </w:t>
      </w:r>
      <w:proofErr w:type="gramStart"/>
      <w:r w:rsidR="001954A0">
        <w:t>14-25 year-old</w:t>
      </w:r>
      <w:proofErr w:type="gramEnd"/>
      <w:r w:rsidR="001954A0">
        <w:t xml:space="preserve"> </w:t>
      </w:r>
      <w:r w:rsidR="005B2EF3">
        <w:t xml:space="preserve">trans and gender diverse </w:t>
      </w:r>
      <w:r w:rsidR="001954A0">
        <w:t xml:space="preserve">Australians had </w:t>
      </w:r>
      <w:r w:rsidR="005B2EF3">
        <w:t xml:space="preserve">experienced verbal or physical abuse at home, relating to their gender identity. </w:t>
      </w:r>
    </w:p>
    <w:p w14:paraId="5D03EA08" w14:textId="4F399CCC" w:rsidR="005708AE" w:rsidRDefault="000E26F1" w:rsidP="007821BF">
      <w:pPr>
        <w:spacing w:after="0" w:line="288" w:lineRule="auto"/>
        <w:jc w:val="both"/>
      </w:pPr>
      <w:r>
        <w:t>Victimization</w:t>
      </w:r>
      <w:r w:rsidR="006D3001">
        <w:t xml:space="preserve"> of young LGBTI people may persist at school</w:t>
      </w:r>
      <w:r w:rsidR="009D1483">
        <w:t>, sport, social</w:t>
      </w:r>
      <w:r w:rsidR="006D3001">
        <w:t xml:space="preserve"> and other settings, with social exclusion from peers, harassment, </w:t>
      </w:r>
      <w:r w:rsidR="00E924CD">
        <w:t xml:space="preserve">threats, </w:t>
      </w:r>
      <w:r w:rsidR="006D3001">
        <w:t xml:space="preserve">violence and </w:t>
      </w:r>
      <w:r w:rsidR="00150BFB">
        <w:t>accompanying</w:t>
      </w:r>
      <w:r w:rsidR="006D3001">
        <w:t xml:space="preserve"> fears for their </w:t>
      </w:r>
      <w:r w:rsidR="00150BFB">
        <w:t xml:space="preserve">personal </w:t>
      </w:r>
      <w:r w:rsidR="006D3001">
        <w:t xml:space="preserve">safety (Australian </w:t>
      </w:r>
      <w:r>
        <w:t>Psychological</w:t>
      </w:r>
      <w:r w:rsidR="006D3001">
        <w:t xml:space="preserve"> Society, undated). </w:t>
      </w:r>
      <w:r w:rsidR="00C1111F">
        <w:t xml:space="preserve">The </w:t>
      </w:r>
      <w:r w:rsidR="00D973C4">
        <w:t>National LGBT Health Alliance</w:t>
      </w:r>
      <w:r w:rsidR="00230B66">
        <w:t xml:space="preserve"> (</w:t>
      </w:r>
      <w:r w:rsidR="00D973C4">
        <w:t>2009</w:t>
      </w:r>
      <w:r w:rsidR="00230B66">
        <w:t>)</w:t>
      </w:r>
      <w:r w:rsidR="006D3001">
        <w:t xml:space="preserve"> cites research which found that just 12% of </w:t>
      </w:r>
      <w:proofErr w:type="gramStart"/>
      <w:r w:rsidR="006D3001">
        <w:t>same-sex</w:t>
      </w:r>
      <w:proofErr w:type="gramEnd"/>
      <w:r w:rsidR="006D3001">
        <w:t xml:space="preserve"> attracted young people in an Australian sample </w:t>
      </w:r>
      <w:r w:rsidR="005708AE">
        <w:t>felt</w:t>
      </w:r>
      <w:r w:rsidR="006D3001">
        <w:t xml:space="preserve"> safe at school </w:t>
      </w:r>
      <w:r w:rsidR="00E924CD">
        <w:t xml:space="preserve">and </w:t>
      </w:r>
      <w:r w:rsidR="006D3001">
        <w:t>43% on the street</w:t>
      </w:r>
      <w:r w:rsidR="005A72BB">
        <w:t>.</w:t>
      </w:r>
      <w:r w:rsidR="00003792">
        <w:t xml:space="preserve"> </w:t>
      </w:r>
    </w:p>
    <w:p w14:paraId="0B4D2EE4" w14:textId="6780B0AD" w:rsidR="00131928" w:rsidRDefault="00F75C51" w:rsidP="007821BF">
      <w:pPr>
        <w:spacing w:after="0" w:line="288" w:lineRule="auto"/>
        <w:jc w:val="both"/>
      </w:pPr>
      <w:r>
        <w:t>Further</w:t>
      </w:r>
      <w:r w:rsidR="006D3001">
        <w:t xml:space="preserve"> research </w:t>
      </w:r>
      <w:r>
        <w:t>reveals</w:t>
      </w:r>
      <w:r w:rsidR="006D3001">
        <w:t xml:space="preserve"> </w:t>
      </w:r>
      <w:r w:rsidR="00B1515A">
        <w:t>similarly adverse experience</w:t>
      </w:r>
      <w:r w:rsidR="00776321">
        <w:t>s</w:t>
      </w:r>
      <w:r w:rsidR="00B1515A">
        <w:t xml:space="preserve"> among</w:t>
      </w:r>
      <w:r w:rsidR="006D3001">
        <w:t xml:space="preserve"> </w:t>
      </w:r>
      <w:r w:rsidR="000E26F1">
        <w:t>adult</w:t>
      </w:r>
      <w:r w:rsidR="006D3001">
        <w:t xml:space="preserve"> members of </w:t>
      </w:r>
      <w:r w:rsidR="00981D6E">
        <w:t>LGBTI communities</w:t>
      </w:r>
      <w:r w:rsidR="006D3001">
        <w:t xml:space="preserve">. </w:t>
      </w:r>
      <w:r w:rsidR="00552072">
        <w:t xml:space="preserve">One inquiry </w:t>
      </w:r>
      <w:r w:rsidR="00A93DAA">
        <w:t>determined that 44% of a sample of 1,749 LGBTI Australians had experienced “verbal abuse relating to their sexuality or gender” and 16% had been physically abused (</w:t>
      </w:r>
      <w:r w:rsidR="00D973C4">
        <w:t>National LGBT Health Alliance, 2009</w:t>
      </w:r>
      <w:r w:rsidR="00A93DAA">
        <w:t xml:space="preserve">). </w:t>
      </w:r>
      <w:r w:rsidR="006D3001">
        <w:t xml:space="preserve">An online Australian survey found that verbal abuse on the </w:t>
      </w:r>
      <w:r w:rsidR="000E26F1">
        <w:t>basis</w:t>
      </w:r>
      <w:r w:rsidR="006D3001">
        <w:t xml:space="preserve"> of their identity </w:t>
      </w:r>
      <w:r w:rsidR="00776321">
        <w:t>had been</w:t>
      </w:r>
      <w:r w:rsidR="006D3001">
        <w:t xml:space="preserve"> experienced by 26% of male</w:t>
      </w:r>
      <w:r w:rsidR="005A72BB">
        <w:t xml:space="preserve"> survey participants</w:t>
      </w:r>
      <w:r w:rsidR="006D3001">
        <w:t xml:space="preserve"> and 22% of females</w:t>
      </w:r>
      <w:r w:rsidR="003C2A6E">
        <w:t xml:space="preserve">, harassment by 15% of males and females, threats of </w:t>
      </w:r>
      <w:r w:rsidR="000E26F1">
        <w:t>physical assault</w:t>
      </w:r>
      <w:r w:rsidR="003C2A6E">
        <w:t xml:space="preserve"> by 11% of males and 6% of females</w:t>
      </w:r>
      <w:r w:rsidR="00E76364">
        <w:t>,</w:t>
      </w:r>
      <w:r w:rsidR="003C2A6E">
        <w:t xml:space="preserve"> and physical assault by 2.2% </w:t>
      </w:r>
      <w:r w:rsidR="000E26F1">
        <w:t>of males</w:t>
      </w:r>
      <w:r w:rsidR="003C2A6E">
        <w:t xml:space="preserve"> and 1.3% of females (</w:t>
      </w:r>
      <w:r w:rsidR="00770866">
        <w:t>Leonard et al, 2012</w:t>
      </w:r>
      <w:r w:rsidR="003C2A6E">
        <w:t>).</w:t>
      </w:r>
    </w:p>
    <w:p w14:paraId="67BCB1A9" w14:textId="6809C439" w:rsidR="002B2318" w:rsidRPr="007E1922" w:rsidRDefault="005708AE" w:rsidP="007821BF">
      <w:pPr>
        <w:spacing w:after="0" w:line="288" w:lineRule="auto"/>
        <w:jc w:val="both"/>
        <w:rPr>
          <w:lang w:val="en-GB"/>
        </w:rPr>
      </w:pPr>
      <w:r>
        <w:rPr>
          <w:lang w:val="en-GB"/>
        </w:rPr>
        <w:t>High rates were reported by</w:t>
      </w:r>
      <w:r w:rsidR="002B2318">
        <w:rPr>
          <w:lang w:val="en-GB"/>
        </w:rPr>
        <w:t xml:space="preserve"> the New South Wales Attorney General Department (2003)</w:t>
      </w:r>
      <w:r>
        <w:rPr>
          <w:lang w:val="en-GB"/>
        </w:rPr>
        <w:t xml:space="preserve">, which recounted evidence that </w:t>
      </w:r>
      <w:r w:rsidR="002B2318">
        <w:rPr>
          <w:lang w:val="en-GB"/>
        </w:rPr>
        <w:t xml:space="preserve">85% of </w:t>
      </w:r>
      <w:r w:rsidR="00F72B3F">
        <w:rPr>
          <w:lang w:val="en-GB"/>
        </w:rPr>
        <w:t xml:space="preserve">a sample of </w:t>
      </w:r>
      <w:r w:rsidR="002B2318">
        <w:rPr>
          <w:lang w:val="en-GB"/>
        </w:rPr>
        <w:t>gay men and lesbians had experienced harassment or violence, and approximately 25% physical assault. (cited in Flood and Hamilton, 2005).</w:t>
      </w:r>
      <w:r w:rsidR="005E4A51">
        <w:rPr>
          <w:lang w:val="en-GB"/>
        </w:rPr>
        <w:t xml:space="preserve"> </w:t>
      </w:r>
      <w:r w:rsidR="005E4A51">
        <w:t xml:space="preserve">Thirty-four per cent of </w:t>
      </w:r>
      <w:r w:rsidR="005E4A51" w:rsidRPr="00C21D15">
        <w:t xml:space="preserve">LGBTI survey </w:t>
      </w:r>
      <w:r w:rsidR="005E4A51">
        <w:t>participants i</w:t>
      </w:r>
      <w:r w:rsidR="005E4A51" w:rsidRPr="00C21D15">
        <w:t>n the 2017 Victorian Population Health Survey</w:t>
      </w:r>
      <w:r w:rsidR="005E4A51">
        <w:t xml:space="preserve"> had experienced discrimination </w:t>
      </w:r>
      <w:r w:rsidR="005E4A51" w:rsidRPr="00003792">
        <w:rPr>
          <w:i/>
          <w:iCs/>
        </w:rPr>
        <w:t>in the previous year</w:t>
      </w:r>
      <w:r w:rsidR="005E4A51">
        <w:t>, compared with 16% of others (Victorian Agency for Health Information, 2020).</w:t>
      </w:r>
      <w:r w:rsidR="00003792">
        <w:t xml:space="preserve"> </w:t>
      </w:r>
    </w:p>
    <w:p w14:paraId="6E8E4093" w14:textId="2501A2C9" w:rsidR="008B262F" w:rsidRDefault="007E1922" w:rsidP="007821BF">
      <w:pPr>
        <w:spacing w:after="0" w:line="288" w:lineRule="auto"/>
        <w:jc w:val="both"/>
      </w:pPr>
      <w:r>
        <w:t>In relation to employment, a</w:t>
      </w:r>
      <w:r w:rsidR="00F72B3F">
        <w:t xml:space="preserve"> survey conducted by the Australian Human Rights Commission (2018)</w:t>
      </w:r>
      <w:r w:rsidR="003C2A6E">
        <w:t xml:space="preserve"> </w:t>
      </w:r>
      <w:r w:rsidR="00F72B3F">
        <w:t xml:space="preserve">documented a prevalence </w:t>
      </w:r>
      <w:r w:rsidR="003C2A6E">
        <w:t xml:space="preserve">of workplace harassment among </w:t>
      </w:r>
      <w:r w:rsidR="00B1515A">
        <w:t>LGBTI</w:t>
      </w:r>
      <w:r w:rsidR="003C2A6E">
        <w:t xml:space="preserve"> individuals </w:t>
      </w:r>
      <w:r w:rsidR="00F72B3F">
        <w:t xml:space="preserve">which was </w:t>
      </w:r>
      <w:r w:rsidR="003C2A6E">
        <w:t xml:space="preserve">70% </w:t>
      </w:r>
      <w:r w:rsidR="00150BFB">
        <w:t>greater</w:t>
      </w:r>
      <w:r w:rsidR="003C2A6E">
        <w:t xml:space="preserve"> than for others</w:t>
      </w:r>
      <w:r w:rsidR="005E4A51">
        <w:t>.</w:t>
      </w:r>
    </w:p>
    <w:p w14:paraId="79BE87A3" w14:textId="3D719EDA" w:rsidR="004A70BD" w:rsidRPr="00D03734" w:rsidRDefault="004A70BD" w:rsidP="004A70BD">
      <w:pPr>
        <w:spacing w:after="0" w:line="288" w:lineRule="auto"/>
        <w:jc w:val="both"/>
        <w:rPr>
          <w:color w:val="000000" w:themeColor="text1"/>
        </w:rPr>
      </w:pPr>
      <w:r>
        <w:rPr>
          <w:color w:val="000000" w:themeColor="text1"/>
        </w:rPr>
        <w:t xml:space="preserve">Many respondents to the </w:t>
      </w:r>
      <w:r>
        <w:rPr>
          <w:lang w:val="en-GB"/>
        </w:rPr>
        <w:t>2019 Australian ‘Private Lives’ survey reported that they had experienced v</w:t>
      </w:r>
      <w:proofErr w:type="spellStart"/>
      <w:r w:rsidRPr="00D03734">
        <w:rPr>
          <w:color w:val="000000" w:themeColor="text1"/>
        </w:rPr>
        <w:t>iolence</w:t>
      </w:r>
      <w:proofErr w:type="spellEnd"/>
      <w:r w:rsidRPr="00D03734">
        <w:rPr>
          <w:color w:val="000000" w:themeColor="text1"/>
        </w:rPr>
        <w:t>, abuse and harassment (</w:t>
      </w:r>
      <w:proofErr w:type="spellStart"/>
      <w:r w:rsidRPr="00D03734">
        <w:rPr>
          <w:color w:val="000000" w:themeColor="text1"/>
        </w:rPr>
        <w:t>eg</w:t>
      </w:r>
      <w:proofErr w:type="spellEnd"/>
      <w:r w:rsidRPr="00D03734">
        <w:rPr>
          <w:color w:val="000000" w:themeColor="text1"/>
        </w:rPr>
        <w:t>: being spat on or offensive gestures) in the previous year, due to sexual orientation or gender identity, includ</w:t>
      </w:r>
      <w:r>
        <w:rPr>
          <w:color w:val="000000" w:themeColor="text1"/>
        </w:rPr>
        <w:t>ing</w:t>
      </w:r>
      <w:r w:rsidRPr="00D03734">
        <w:rPr>
          <w:color w:val="000000" w:themeColor="text1"/>
        </w:rPr>
        <w:t xml:space="preserve"> social exclusion, verbal abuse, harassment and written threats</w:t>
      </w:r>
      <w:r w:rsidR="00401138">
        <w:rPr>
          <w:color w:val="000000" w:themeColor="text1"/>
        </w:rPr>
        <w:t xml:space="preserve"> (diagram, below)</w:t>
      </w:r>
      <w:r w:rsidRPr="00D03734">
        <w:rPr>
          <w:color w:val="000000" w:themeColor="text1"/>
        </w:rPr>
        <w:t>.</w:t>
      </w:r>
    </w:p>
    <w:p w14:paraId="1D666A8F" w14:textId="77777777" w:rsidR="004A70BD" w:rsidRPr="00D03734" w:rsidRDefault="004A70BD" w:rsidP="004A70BD">
      <w:pPr>
        <w:spacing w:after="0" w:line="336" w:lineRule="auto"/>
        <w:jc w:val="both"/>
        <w:rPr>
          <w:color w:val="000000" w:themeColor="text1"/>
        </w:rPr>
      </w:pPr>
      <w:r w:rsidRPr="00D03734">
        <w:rPr>
          <w:noProof/>
          <w:color w:val="000000" w:themeColor="text1"/>
        </w:rPr>
        <w:lastRenderedPageBreak/>
        <w:drawing>
          <wp:anchor distT="0" distB="0" distL="114300" distR="114300" simplePos="0" relativeHeight="251668480" behindDoc="0" locked="0" layoutInCell="1" allowOverlap="1" wp14:anchorId="6D8C30E0" wp14:editId="363BEE06">
            <wp:simplePos x="0" y="0"/>
            <wp:positionH relativeFrom="margin">
              <wp:posOffset>41275</wp:posOffset>
            </wp:positionH>
            <wp:positionV relativeFrom="paragraph">
              <wp:posOffset>2540</wp:posOffset>
            </wp:positionV>
            <wp:extent cx="4385945" cy="2569210"/>
            <wp:effectExtent l="0" t="0" r="0" b="2540"/>
            <wp:wrapSquare wrapText="bothSides"/>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385945" cy="2569210"/>
                    </a:xfrm>
                    <a:prstGeom prst="rect">
                      <a:avLst/>
                    </a:prstGeom>
                    <a:noFill/>
                  </pic:spPr>
                </pic:pic>
              </a:graphicData>
            </a:graphic>
            <wp14:sizeRelH relativeFrom="page">
              <wp14:pctWidth>0</wp14:pctWidth>
            </wp14:sizeRelH>
            <wp14:sizeRelV relativeFrom="page">
              <wp14:pctHeight>0</wp14:pctHeight>
            </wp14:sizeRelV>
          </wp:anchor>
        </w:drawing>
      </w:r>
    </w:p>
    <w:p w14:paraId="7D12AA9D" w14:textId="77777777" w:rsidR="004A70BD" w:rsidRPr="00D03734" w:rsidRDefault="004A70BD" w:rsidP="004A70BD">
      <w:pPr>
        <w:spacing w:after="0" w:line="336" w:lineRule="auto"/>
        <w:jc w:val="both"/>
        <w:rPr>
          <w:color w:val="000000" w:themeColor="text1"/>
        </w:rPr>
      </w:pPr>
    </w:p>
    <w:p w14:paraId="502851DB" w14:textId="77777777" w:rsidR="004A70BD" w:rsidRPr="00D03734" w:rsidRDefault="004A70BD" w:rsidP="004A70BD">
      <w:pPr>
        <w:spacing w:after="0" w:line="336" w:lineRule="auto"/>
        <w:jc w:val="both"/>
        <w:rPr>
          <w:color w:val="000000" w:themeColor="text1"/>
        </w:rPr>
      </w:pPr>
    </w:p>
    <w:p w14:paraId="35D90C1C" w14:textId="77777777" w:rsidR="004A70BD" w:rsidRPr="00D03734" w:rsidRDefault="004A70BD" w:rsidP="004A70BD">
      <w:pPr>
        <w:spacing w:after="0" w:line="240" w:lineRule="auto"/>
        <w:jc w:val="both"/>
        <w:rPr>
          <w:color w:val="000000" w:themeColor="text1"/>
          <w:sz w:val="20"/>
          <w:szCs w:val="20"/>
        </w:rPr>
      </w:pPr>
      <w:r w:rsidRPr="00D03734">
        <w:rPr>
          <w:color w:val="000000" w:themeColor="text1"/>
          <w:sz w:val="20"/>
          <w:szCs w:val="20"/>
        </w:rPr>
        <w:t>Violence or harassment experienced by respondents in the previous 12 months, by type</w:t>
      </w:r>
    </w:p>
    <w:p w14:paraId="62B267EF" w14:textId="77777777" w:rsidR="004A70BD" w:rsidRPr="00D03734" w:rsidRDefault="004A70BD" w:rsidP="004A70BD">
      <w:pPr>
        <w:spacing w:after="0" w:line="336" w:lineRule="auto"/>
        <w:jc w:val="both"/>
        <w:rPr>
          <w:color w:val="000000" w:themeColor="text1"/>
        </w:rPr>
      </w:pPr>
    </w:p>
    <w:p w14:paraId="714A2CE3" w14:textId="77777777" w:rsidR="004A70BD" w:rsidRPr="00D03734" w:rsidRDefault="004A70BD" w:rsidP="004A70BD">
      <w:pPr>
        <w:spacing w:after="0" w:line="336" w:lineRule="auto"/>
        <w:jc w:val="both"/>
        <w:rPr>
          <w:color w:val="000000" w:themeColor="text1"/>
        </w:rPr>
      </w:pPr>
    </w:p>
    <w:p w14:paraId="45A90457" w14:textId="77777777" w:rsidR="004A70BD" w:rsidRPr="00D03734" w:rsidRDefault="004A70BD" w:rsidP="004A70BD">
      <w:pPr>
        <w:spacing w:after="0" w:line="336" w:lineRule="auto"/>
        <w:jc w:val="both"/>
        <w:rPr>
          <w:color w:val="000000" w:themeColor="text1"/>
        </w:rPr>
      </w:pPr>
    </w:p>
    <w:p w14:paraId="00184B76" w14:textId="77777777" w:rsidR="004A70BD" w:rsidRPr="00D03734" w:rsidRDefault="004A70BD" w:rsidP="004A70BD">
      <w:pPr>
        <w:spacing w:after="0" w:line="336" w:lineRule="auto"/>
        <w:jc w:val="both"/>
        <w:rPr>
          <w:color w:val="000000" w:themeColor="text1"/>
        </w:rPr>
      </w:pPr>
    </w:p>
    <w:p w14:paraId="3F1396C7" w14:textId="77777777" w:rsidR="004A70BD" w:rsidRPr="00D03734" w:rsidRDefault="004A70BD" w:rsidP="004A70BD">
      <w:pPr>
        <w:spacing w:after="0" w:line="336" w:lineRule="auto"/>
        <w:jc w:val="both"/>
        <w:rPr>
          <w:color w:val="000000" w:themeColor="text1"/>
        </w:rPr>
      </w:pPr>
    </w:p>
    <w:p w14:paraId="4ACEC73F" w14:textId="3C4D9FAB" w:rsidR="004A70BD" w:rsidRDefault="004A70BD" w:rsidP="007821BF">
      <w:pPr>
        <w:spacing w:after="0" w:line="288" w:lineRule="auto"/>
        <w:jc w:val="both"/>
      </w:pPr>
    </w:p>
    <w:p w14:paraId="0B37019D" w14:textId="30F2BEC9" w:rsidR="00401138" w:rsidRDefault="00401138" w:rsidP="00401138">
      <w:pPr>
        <w:spacing w:after="0" w:line="288" w:lineRule="auto"/>
        <w:jc w:val="both"/>
      </w:pPr>
      <w:r>
        <w:t xml:space="preserve">Many respondents to the survey also felt that they were not accepted among mainstream society, with </w:t>
      </w:r>
      <w:r w:rsidRPr="0069264E">
        <w:t>43%</w:t>
      </w:r>
      <w:r>
        <w:t xml:space="preserve"> of respondents reporting that they felt accepted</w:t>
      </w:r>
      <w:r w:rsidRPr="0069264E">
        <w:t xml:space="preserve"> </w:t>
      </w:r>
      <w:r>
        <w:t>at</w:t>
      </w:r>
      <w:r w:rsidRPr="0069264E">
        <w:t xml:space="preserve"> health service</w:t>
      </w:r>
      <w:r>
        <w:t>s</w:t>
      </w:r>
      <w:r w:rsidRPr="0069264E">
        <w:t>, 35% at social events, 31% in public, 29% at mainstream event</w:t>
      </w:r>
      <w:r>
        <w:t>s</w:t>
      </w:r>
      <w:r w:rsidRPr="0069264E">
        <w:t>, and 11% at religious events.</w:t>
      </w:r>
      <w:r>
        <w:t xml:space="preserve"> </w:t>
      </w:r>
      <w:r w:rsidRPr="0069264E">
        <w:t>Levels of perceived acceptance were lowest among trans and non-binary respondents.</w:t>
      </w:r>
    </w:p>
    <w:p w14:paraId="411C87D5" w14:textId="77777777" w:rsidR="00A16B6B" w:rsidRDefault="00A16B6B" w:rsidP="008B6C60">
      <w:pPr>
        <w:spacing w:after="0" w:line="288" w:lineRule="auto"/>
        <w:jc w:val="both"/>
      </w:pPr>
      <w:r>
        <w:rPr>
          <w:noProof/>
          <w:color w:val="7F7F7F" w:themeColor="text1" w:themeTint="80"/>
          <w:sz w:val="20"/>
          <w:szCs w:val="20"/>
        </w:rPr>
        <w:drawing>
          <wp:anchor distT="0" distB="0" distL="114300" distR="114300" simplePos="0" relativeHeight="251661312" behindDoc="0" locked="0" layoutInCell="1" allowOverlap="1" wp14:anchorId="42F213D2" wp14:editId="38DD0A34">
            <wp:simplePos x="0" y="0"/>
            <wp:positionH relativeFrom="margin">
              <wp:align>right</wp:align>
            </wp:positionH>
            <wp:positionV relativeFrom="paragraph">
              <wp:posOffset>1576705</wp:posOffset>
            </wp:positionV>
            <wp:extent cx="3771265" cy="2557145"/>
            <wp:effectExtent l="0" t="0" r="635"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771265" cy="2557145"/>
                    </a:xfrm>
                    <a:prstGeom prst="rect">
                      <a:avLst/>
                    </a:prstGeom>
                    <a:noFill/>
                  </pic:spPr>
                </pic:pic>
              </a:graphicData>
            </a:graphic>
            <wp14:sizeRelH relativeFrom="page">
              <wp14:pctWidth>0</wp14:pctWidth>
            </wp14:sizeRelH>
            <wp14:sizeRelV relativeFrom="page">
              <wp14:pctHeight>0</wp14:pctHeight>
            </wp14:sizeRelV>
          </wp:anchor>
        </w:drawing>
      </w:r>
      <w:r w:rsidR="00776321">
        <w:t xml:space="preserve">Such </w:t>
      </w:r>
      <w:r w:rsidR="000E26F1">
        <w:t>exclusion</w:t>
      </w:r>
      <w:r w:rsidR="00B1515A">
        <w:t>,</w:t>
      </w:r>
      <w:r w:rsidR="00395691">
        <w:t xml:space="preserve"> harassment</w:t>
      </w:r>
      <w:r w:rsidR="00B1515A">
        <w:t xml:space="preserve">, </w:t>
      </w:r>
      <w:r w:rsidR="00395691">
        <w:t xml:space="preserve">abuse and </w:t>
      </w:r>
      <w:r w:rsidR="000E26F1">
        <w:t>violence</w:t>
      </w:r>
      <w:r w:rsidR="00395691">
        <w:t xml:space="preserve"> exact a </w:t>
      </w:r>
      <w:r w:rsidR="009144BB">
        <w:t>grievous</w:t>
      </w:r>
      <w:r w:rsidR="00395691">
        <w:t xml:space="preserve"> toll upon the mental health of </w:t>
      </w:r>
      <w:r w:rsidR="00906E39">
        <w:t xml:space="preserve">many </w:t>
      </w:r>
      <w:r w:rsidR="00395691">
        <w:t>children, young people and adults.</w:t>
      </w:r>
      <w:r w:rsidR="009144BB">
        <w:t xml:space="preserve"> </w:t>
      </w:r>
      <w:r w:rsidR="00395691">
        <w:t xml:space="preserve">The Australian </w:t>
      </w:r>
      <w:r w:rsidR="000E26F1">
        <w:t>Psychological</w:t>
      </w:r>
      <w:r w:rsidR="00395691">
        <w:t xml:space="preserve"> Society </w:t>
      </w:r>
      <w:r w:rsidR="00FF015B">
        <w:t>(undated) reports</w:t>
      </w:r>
      <w:r w:rsidR="00395691">
        <w:t xml:space="preserve"> </w:t>
      </w:r>
      <w:r w:rsidR="000E26F1">
        <w:t>elevated</w:t>
      </w:r>
      <w:r w:rsidR="00FF015B">
        <w:t xml:space="preserve"> average</w:t>
      </w:r>
      <w:r w:rsidR="00395691">
        <w:t xml:space="preserve"> levels of </w:t>
      </w:r>
      <w:r w:rsidR="000E26F1">
        <w:t>anxiety</w:t>
      </w:r>
      <w:r w:rsidR="00395691">
        <w:t xml:space="preserve">, </w:t>
      </w:r>
      <w:r w:rsidR="000E26F1">
        <w:t>depression</w:t>
      </w:r>
      <w:r w:rsidR="00395691">
        <w:t xml:space="preserve"> and depleted self-esteem among LGBTI people. </w:t>
      </w:r>
      <w:r w:rsidR="00E924CD">
        <w:t>In one inquiry,</w:t>
      </w:r>
      <w:r w:rsidR="00395691">
        <w:t xml:space="preserve"> featuring </w:t>
      </w:r>
      <w:r w:rsidR="00106B93">
        <w:t>discussions with</w:t>
      </w:r>
      <w:r w:rsidR="00395691">
        <w:t xml:space="preserve"> 189 14-25 year-old gender diverse and transgender Australians</w:t>
      </w:r>
      <w:r w:rsidR="00E924CD">
        <w:t>,</w:t>
      </w:r>
      <w:r w:rsidR="00395691">
        <w:t xml:space="preserve"> </w:t>
      </w:r>
      <w:r w:rsidR="00E924CD">
        <w:t>about half reported that they</w:t>
      </w:r>
      <w:r w:rsidR="00395691">
        <w:t xml:space="preserve"> </w:t>
      </w:r>
      <w:r w:rsidR="000E26F1">
        <w:t>ha</w:t>
      </w:r>
      <w:r w:rsidR="00E76364">
        <w:t>d</w:t>
      </w:r>
      <w:r w:rsidR="00395691">
        <w:t xml:space="preserve"> been </w:t>
      </w:r>
      <w:r w:rsidR="000E26F1">
        <w:t>diagnosed</w:t>
      </w:r>
      <w:r w:rsidR="00395691">
        <w:t xml:space="preserve"> with depression, </w:t>
      </w:r>
      <w:r w:rsidR="00E924CD">
        <w:t xml:space="preserve">while </w:t>
      </w:r>
      <w:r w:rsidR="00395691">
        <w:t xml:space="preserve">two-fifths had contemplated suicide and </w:t>
      </w:r>
      <w:r w:rsidR="00C4481A">
        <w:t>a similar proportion</w:t>
      </w:r>
      <w:r w:rsidR="00395691">
        <w:t xml:space="preserve"> had attended a mental health clinician in the previous year (</w:t>
      </w:r>
      <w:r w:rsidR="008F4312">
        <w:t>Smith et al, 2014</w:t>
      </w:r>
      <w:r w:rsidR="00395691">
        <w:t xml:space="preserve">). </w:t>
      </w:r>
      <w:r w:rsidR="00F22BF6">
        <w:t>Among them, 48% stated that they felt stressed</w:t>
      </w:r>
      <w:r w:rsidR="00C4481A">
        <w:t xml:space="preserve"> and</w:t>
      </w:r>
      <w:r w:rsidR="00F22BF6">
        <w:t xml:space="preserve"> 44% anxious, 40% </w:t>
      </w:r>
      <w:r w:rsidR="00C4481A">
        <w:t xml:space="preserve">were </w:t>
      </w:r>
      <w:r w:rsidR="00F22BF6">
        <w:t>depressed</w:t>
      </w:r>
      <w:r w:rsidR="00C4481A">
        <w:t xml:space="preserve"> and</w:t>
      </w:r>
      <w:r w:rsidR="00F22BF6">
        <w:t xml:space="preserve"> 38% had suicidal thoughts, </w:t>
      </w:r>
      <w:r w:rsidR="00C4481A">
        <w:t xml:space="preserve">while </w:t>
      </w:r>
      <w:r w:rsidR="00F22BF6">
        <w:t xml:space="preserve">16% </w:t>
      </w:r>
      <w:r w:rsidR="00C4481A">
        <w:t xml:space="preserve">experienced </w:t>
      </w:r>
      <w:r w:rsidR="00F22BF6">
        <w:t>eating diso</w:t>
      </w:r>
      <w:r w:rsidR="00665C57">
        <w:t>r</w:t>
      </w:r>
      <w:r w:rsidR="00F22BF6">
        <w:t>ders</w:t>
      </w:r>
      <w:r w:rsidR="00C4481A">
        <w:t xml:space="preserve"> and</w:t>
      </w:r>
      <w:r w:rsidR="00F22BF6">
        <w:t xml:space="preserve"> 11% drug-related problems</w:t>
      </w:r>
    </w:p>
    <w:p w14:paraId="08C73916" w14:textId="77777777" w:rsidR="00A16B6B" w:rsidRPr="008B6C60" w:rsidRDefault="00A16B6B" w:rsidP="008B6C60">
      <w:pPr>
        <w:spacing w:after="0" w:line="240" w:lineRule="auto"/>
        <w:rPr>
          <w:color w:val="7F7F7F" w:themeColor="text1" w:themeTint="80"/>
          <w:sz w:val="8"/>
          <w:szCs w:val="8"/>
        </w:rPr>
      </w:pPr>
    </w:p>
    <w:p w14:paraId="63004272" w14:textId="41BC195B" w:rsidR="00F22BF6" w:rsidRPr="00F63A44" w:rsidRDefault="00F22BF6" w:rsidP="008B6C60">
      <w:pPr>
        <w:spacing w:after="0" w:line="240" w:lineRule="auto"/>
        <w:rPr>
          <w:color w:val="7F7F7F" w:themeColor="text1" w:themeTint="80"/>
          <w:sz w:val="20"/>
          <w:szCs w:val="20"/>
        </w:rPr>
      </w:pPr>
      <w:r w:rsidRPr="00F63A44">
        <w:rPr>
          <w:color w:val="7F7F7F" w:themeColor="text1" w:themeTint="80"/>
          <w:sz w:val="20"/>
          <w:szCs w:val="20"/>
        </w:rPr>
        <w:t>Mental health concerns: young women (</w:t>
      </w:r>
      <w:r w:rsidR="00624BDD">
        <w:rPr>
          <w:color w:val="7F7F7F" w:themeColor="text1" w:themeTint="80"/>
          <w:sz w:val="20"/>
          <w:szCs w:val="20"/>
        </w:rPr>
        <w:t>McNair et al, 2004</w:t>
      </w:r>
      <w:r w:rsidRPr="00F63A44">
        <w:rPr>
          <w:color w:val="7F7F7F" w:themeColor="text1" w:themeTint="80"/>
          <w:sz w:val="20"/>
          <w:szCs w:val="20"/>
        </w:rPr>
        <w:t>)</w:t>
      </w:r>
    </w:p>
    <w:p w14:paraId="4B6B6293" w14:textId="77777777" w:rsidR="00A16B6B" w:rsidRPr="008B6C60" w:rsidRDefault="00A16B6B" w:rsidP="007821BF">
      <w:pPr>
        <w:spacing w:after="0" w:line="288" w:lineRule="auto"/>
        <w:jc w:val="both"/>
        <w:rPr>
          <w:sz w:val="8"/>
          <w:szCs w:val="8"/>
        </w:rPr>
      </w:pPr>
    </w:p>
    <w:p w14:paraId="32DFE6BF" w14:textId="4628C919" w:rsidR="00981D6E" w:rsidRDefault="00A16B6B" w:rsidP="007821BF">
      <w:pPr>
        <w:spacing w:after="0" w:line="288" w:lineRule="auto"/>
        <w:jc w:val="both"/>
      </w:pPr>
      <w:r w:rsidRPr="00A16B6B">
        <w:t>Similarly, in an Australian study of 15,000 22-17 year-old women, McNair et al (2004) found that, compared with heterosexual women, those who were mainly or exclusively homosexual experienced higher rates of doctor-diagnosed depression (26.2% compared with 10.9) or anxiety disorders (9.3% vs. 4.6%) in the previous four years, while a higher proportion of the homosexual women had felt that life was not worth living in the previous week (18.4% vs. 6.5%) and a greater proportion had hurt or tried to kill themselves in the previous six months (17.3% vs. 2.7%).</w:t>
      </w:r>
      <w:r w:rsidR="00F22BF6">
        <w:t xml:space="preserve"> (Diagram, </w:t>
      </w:r>
      <w:r>
        <w:t>above</w:t>
      </w:r>
      <w:r w:rsidR="00F22BF6">
        <w:t>)</w:t>
      </w:r>
      <w:r w:rsidR="00FE603F">
        <w:t xml:space="preserve">. </w:t>
      </w:r>
    </w:p>
    <w:p w14:paraId="2D848DA8" w14:textId="29ECF427" w:rsidR="00150C9C" w:rsidRPr="00150C9C" w:rsidRDefault="00150C9C" w:rsidP="00150C9C">
      <w:pPr>
        <w:spacing w:after="0" w:line="288" w:lineRule="auto"/>
        <w:jc w:val="both"/>
        <w:rPr>
          <w:color w:val="C00000"/>
        </w:rPr>
      </w:pPr>
      <w:r>
        <w:rPr>
          <w:color w:val="000000" w:themeColor="text1"/>
        </w:rPr>
        <w:t>A</w:t>
      </w:r>
      <w:r w:rsidR="00655B82">
        <w:rPr>
          <w:color w:val="000000" w:themeColor="text1"/>
        </w:rPr>
        <w:t xml:space="preserve"> further</w:t>
      </w:r>
      <w:r w:rsidR="00800E2A" w:rsidRPr="00800E2A">
        <w:rPr>
          <w:color w:val="000000" w:themeColor="text1"/>
        </w:rPr>
        <w:t xml:space="preserve"> Australian study</w:t>
      </w:r>
      <w:r w:rsidR="00655B82">
        <w:rPr>
          <w:color w:val="000000" w:themeColor="text1"/>
        </w:rPr>
        <w:t>,</w:t>
      </w:r>
      <w:r w:rsidR="00800E2A" w:rsidRPr="00800E2A">
        <w:rPr>
          <w:color w:val="000000" w:themeColor="text1"/>
        </w:rPr>
        <w:t xml:space="preserve"> of over 800 trans young people aged 14-25 and </w:t>
      </w:r>
      <w:r w:rsidR="00C3185E">
        <w:rPr>
          <w:color w:val="000000" w:themeColor="text1"/>
        </w:rPr>
        <w:t xml:space="preserve">some of their </w:t>
      </w:r>
      <w:r w:rsidR="00800E2A" w:rsidRPr="00800E2A">
        <w:rPr>
          <w:color w:val="000000" w:themeColor="text1"/>
        </w:rPr>
        <w:t>parents, found that 75% had been diagnosed during their lifetimes with depression and 72% with anxiety; 80% had self-harmed and 48% had attempted suicide</w:t>
      </w:r>
      <w:r w:rsidR="002E2518">
        <w:rPr>
          <w:color w:val="000000" w:themeColor="text1"/>
        </w:rPr>
        <w:t>; and</w:t>
      </w:r>
      <w:r w:rsidR="00800E2A" w:rsidRPr="00800E2A">
        <w:rPr>
          <w:color w:val="000000" w:themeColor="text1"/>
        </w:rPr>
        <w:t xml:space="preserve"> 89% had felt rejected or not included by their peers (Strauss et al, 2017</w:t>
      </w:r>
      <w:r w:rsidR="00800E2A" w:rsidRPr="00150C9C">
        <w:rPr>
          <w:color w:val="000000" w:themeColor="text1"/>
        </w:rPr>
        <w:t>).</w:t>
      </w:r>
      <w:r w:rsidRPr="00150C9C">
        <w:rPr>
          <w:color w:val="000000" w:themeColor="text1"/>
        </w:rPr>
        <w:t xml:space="preserve"> </w:t>
      </w:r>
    </w:p>
    <w:p w14:paraId="7DE2C001" w14:textId="3F6F9C5B" w:rsidR="00010CE9" w:rsidRDefault="005E4A51" w:rsidP="005E4A51">
      <w:pPr>
        <w:spacing w:after="0" w:line="288" w:lineRule="auto"/>
        <w:jc w:val="both"/>
        <w:rPr>
          <w:color w:val="000000" w:themeColor="text1"/>
        </w:rPr>
      </w:pPr>
      <w:r w:rsidRPr="005E4A51">
        <w:rPr>
          <w:color w:val="000000" w:themeColor="text1"/>
        </w:rPr>
        <w:lastRenderedPageBreak/>
        <w:t>LGBTI participants in the 2017 Victorian Population Health Survey</w:t>
      </w:r>
      <w:r>
        <w:rPr>
          <w:color w:val="000000" w:themeColor="text1"/>
        </w:rPr>
        <w:t xml:space="preserve"> also</w:t>
      </w:r>
      <w:r w:rsidRPr="005E4A51">
        <w:rPr>
          <w:color w:val="000000" w:themeColor="text1"/>
        </w:rPr>
        <w:t xml:space="preserve"> registered </w:t>
      </w:r>
      <w:r w:rsidR="001A332E">
        <w:rPr>
          <w:color w:val="000000" w:themeColor="text1"/>
        </w:rPr>
        <w:t>un</w:t>
      </w:r>
      <w:r w:rsidRPr="005E4A51">
        <w:rPr>
          <w:color w:val="000000" w:themeColor="text1"/>
        </w:rPr>
        <w:t xml:space="preserve">favorable mental health outcomes, including lower levels of satisfaction with life, with 28% assessing their life satisfaction as ‘fair’ or ‘poor’ compared with 20% of others; higher rates of psychological distress (24% compared with 15% of non-LGBTI individuals); and elevated levels of doctor-diagnosed depression or anxiety (45% compared with 26% of non-LGBTI survey participants) (Victorian Agency for Health Information, 2020). </w:t>
      </w:r>
    </w:p>
    <w:p w14:paraId="51DFE280" w14:textId="3B00F72F" w:rsidR="004A70BD" w:rsidRPr="004A70BD" w:rsidRDefault="004A70BD" w:rsidP="004A70BD">
      <w:pPr>
        <w:spacing w:after="0" w:line="288" w:lineRule="auto"/>
        <w:jc w:val="both"/>
      </w:pPr>
      <w:r w:rsidRPr="004A70BD">
        <w:t>Among respondents to the 2019 Australian ‘Private Lives’ survey, depression had been diagnosed among 39% - nearly ten times higher than among the general population, of 4.1% - based on findings of the 2007 National Survey of Mental Health and Wellbeing</w:t>
      </w:r>
      <w:r w:rsidR="00551C0F">
        <w:t xml:space="preserve"> (Hill et al, 2020)</w:t>
      </w:r>
      <w:r w:rsidRPr="004A70BD">
        <w:t>.</w:t>
      </w:r>
    </w:p>
    <w:p w14:paraId="15011C46" w14:textId="77777777" w:rsidR="004A70BD" w:rsidRPr="004A70BD" w:rsidRDefault="004A70BD" w:rsidP="004A70BD">
      <w:pPr>
        <w:spacing w:after="0" w:line="288" w:lineRule="auto"/>
        <w:jc w:val="both"/>
      </w:pPr>
      <w:r w:rsidRPr="004A70BD">
        <w:rPr>
          <w:noProof/>
        </w:rPr>
        <w:drawing>
          <wp:anchor distT="0" distB="0" distL="114300" distR="114300" simplePos="0" relativeHeight="251670528" behindDoc="0" locked="0" layoutInCell="1" allowOverlap="1" wp14:anchorId="78967EDF" wp14:editId="408E33D6">
            <wp:simplePos x="0" y="0"/>
            <wp:positionH relativeFrom="margin">
              <wp:align>right</wp:align>
            </wp:positionH>
            <wp:positionV relativeFrom="paragraph">
              <wp:posOffset>-3810</wp:posOffset>
            </wp:positionV>
            <wp:extent cx="3549650" cy="2315210"/>
            <wp:effectExtent l="0" t="0" r="0" b="889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549650" cy="2315210"/>
                    </a:xfrm>
                    <a:prstGeom prst="rect">
                      <a:avLst/>
                    </a:prstGeom>
                    <a:noFill/>
                  </pic:spPr>
                </pic:pic>
              </a:graphicData>
            </a:graphic>
            <wp14:sizeRelH relativeFrom="page">
              <wp14:pctWidth>0</wp14:pctWidth>
            </wp14:sizeRelH>
            <wp14:sizeRelV relativeFrom="page">
              <wp14:pctHeight>0</wp14:pctHeight>
            </wp14:sizeRelV>
          </wp:anchor>
        </w:drawing>
      </w:r>
      <w:r w:rsidRPr="004A70BD">
        <w:t>A third (33%) reported a diagnosis of anxiety disorder in the past 12 months– over ten times the corresponding figure for the general population, and 11% reported post-traumatic stress disorder, compared with 6.4% among the general population. The prevalence of such recent diagnoses was highest among trans, non-binary, pansexual, queer and bisexual people.</w:t>
      </w:r>
    </w:p>
    <w:p w14:paraId="0FE0B981" w14:textId="11BC9602" w:rsidR="004A70BD" w:rsidRDefault="004A70BD" w:rsidP="004A70BD">
      <w:pPr>
        <w:spacing w:after="0" w:line="288" w:lineRule="auto"/>
        <w:jc w:val="both"/>
      </w:pPr>
      <w:r>
        <w:t>Employing</w:t>
      </w:r>
      <w:r w:rsidRPr="0069264E">
        <w:t xml:space="preserve"> a sequence of survey question</w:t>
      </w:r>
      <w:r>
        <w:t>s</w:t>
      </w:r>
      <w:r w:rsidRPr="0069264E">
        <w:t xml:space="preserve">, the </w:t>
      </w:r>
      <w:r w:rsidRPr="004A70BD">
        <w:t xml:space="preserve">survey also </w:t>
      </w:r>
      <w:r w:rsidRPr="0069264E">
        <w:t>identified ‘high’ or ‘very high’ levels of psychological stress among 57% of respondents</w:t>
      </w:r>
      <w:r>
        <w:t xml:space="preserve"> -</w:t>
      </w:r>
      <w:r w:rsidRPr="0069264E">
        <w:t xml:space="preserve"> fo</w:t>
      </w:r>
      <w:r>
        <w:t>u</w:t>
      </w:r>
      <w:r w:rsidRPr="0069264E">
        <w:t>r times the level of 13% recorded among the general population in the 2017/18 Population Health Survey.</w:t>
      </w:r>
      <w:r>
        <w:t xml:space="preserve"> Levels of stress were highest among trans, non-binary, pansexual, queer and bisexual individuals.</w:t>
      </w:r>
    </w:p>
    <w:p w14:paraId="17B43D0B" w14:textId="2CDDC4E5" w:rsidR="004A70BD" w:rsidRPr="004A70BD" w:rsidRDefault="004A70BD" w:rsidP="004A70BD">
      <w:pPr>
        <w:spacing w:after="0" w:line="288" w:lineRule="auto"/>
        <w:jc w:val="both"/>
      </w:pPr>
      <w:r>
        <w:t>Finally, approximately</w:t>
      </w:r>
      <w:r w:rsidRPr="004A70BD">
        <w:t xml:space="preserve"> two-fifths (42%) of respondents to the ‘Private Lives’ survey had thought about suicide or wishing to die in the previous year, nearly twenty times the corresponding level of 2.3% among the general population</w:t>
      </w:r>
      <w:r>
        <w:t>, while</w:t>
      </w:r>
      <w:r w:rsidRPr="004A70BD">
        <w:t xml:space="preserve"> 5.2% had attempted suicide, compared with 0.4% of the general population (based on findings of the2007 National Survey of Mental Health and Wellbeing)</w:t>
      </w:r>
      <w:r w:rsidR="00551C0F">
        <w:t xml:space="preserve"> (Hill et al, 2020).</w:t>
      </w:r>
      <w:r w:rsidRPr="004A70BD">
        <w:t>.</w:t>
      </w:r>
    </w:p>
    <w:p w14:paraId="753AC1BB" w14:textId="1B2F5238" w:rsidR="00511251" w:rsidRPr="007821BF" w:rsidRDefault="00E42E74" w:rsidP="007821BF">
      <w:pPr>
        <w:spacing w:before="120" w:after="0" w:line="288" w:lineRule="auto"/>
        <w:jc w:val="both"/>
      </w:pPr>
      <w:r>
        <w:t xml:space="preserve">Some maintain that </w:t>
      </w:r>
      <w:r w:rsidR="003962AB">
        <w:t>these</w:t>
      </w:r>
      <w:r w:rsidR="007F0D93">
        <w:t xml:space="preserve"> circumstances contribute to </w:t>
      </w:r>
      <w:r w:rsidR="002E2518">
        <w:t xml:space="preserve">a </w:t>
      </w:r>
      <w:r w:rsidR="00106B93">
        <w:t xml:space="preserve">condition sometimes termed </w:t>
      </w:r>
      <w:r w:rsidR="007F0D93">
        <w:t>‘minority stress’</w:t>
      </w:r>
      <w:r>
        <w:t>,</w:t>
      </w:r>
      <w:r w:rsidR="007F0D93">
        <w:t xml:space="preserve"> </w:t>
      </w:r>
      <w:r w:rsidR="002E2518">
        <w:t xml:space="preserve">and </w:t>
      </w:r>
      <w:r w:rsidR="00106B93">
        <w:t>defined</w:t>
      </w:r>
      <w:r w:rsidR="007F0D93">
        <w:t xml:space="preserve"> as “</w:t>
      </w:r>
      <w:r w:rsidR="00CE4740">
        <w:t>…</w:t>
      </w:r>
      <w:r w:rsidR="007F0D93">
        <w:t xml:space="preserve"> excess stress to which individuals from </w:t>
      </w:r>
      <w:r w:rsidR="000E26F1">
        <w:t>stigmatized</w:t>
      </w:r>
      <w:r w:rsidR="007F0D93">
        <w:t xml:space="preserve"> social categories are exposed as a result of their social</w:t>
      </w:r>
      <w:r w:rsidR="00E76364">
        <w:t xml:space="preserve"> - </w:t>
      </w:r>
      <w:r w:rsidR="007F0D93">
        <w:t>often minority</w:t>
      </w:r>
      <w:r w:rsidR="00E76364">
        <w:t xml:space="preserve"> - </w:t>
      </w:r>
      <w:r w:rsidR="007F0D93">
        <w:t>position” (</w:t>
      </w:r>
      <w:r w:rsidR="00014F28">
        <w:t>Meyer</w:t>
      </w:r>
      <w:r w:rsidR="007F0D93">
        <w:t xml:space="preserve">, cited in </w:t>
      </w:r>
      <w:r w:rsidR="00230B66">
        <w:t>Stephenson and Finneran, 2017</w:t>
      </w:r>
      <w:r w:rsidR="007F0D93">
        <w:t>)</w:t>
      </w:r>
      <w:r w:rsidR="00F712E7">
        <w:t>,</w:t>
      </w:r>
      <w:r w:rsidR="007F0D93">
        <w:t xml:space="preserve"> </w:t>
      </w:r>
      <w:r w:rsidR="007F0D93" w:rsidRPr="007821BF">
        <w:t xml:space="preserve">as for </w:t>
      </w:r>
      <w:r w:rsidR="000E26F1" w:rsidRPr="007821BF">
        <w:t>instance</w:t>
      </w:r>
      <w:r w:rsidR="007F0D93" w:rsidRPr="007821BF">
        <w:t xml:space="preserve">, </w:t>
      </w:r>
      <w:r w:rsidR="00AF4DFD" w:rsidRPr="007821BF">
        <w:t>“…</w:t>
      </w:r>
      <w:r w:rsidR="007F0D93" w:rsidRPr="007821BF">
        <w:t>when the option of family life and personal intimacy are not freely offered and sanctioned for LGBTI people</w:t>
      </w:r>
      <w:r w:rsidR="00AF4DFD" w:rsidRPr="007821BF">
        <w:t>”</w:t>
      </w:r>
      <w:r w:rsidR="00F712E7">
        <w:t xml:space="preserve"> (Meyer, 2003).</w:t>
      </w:r>
    </w:p>
    <w:p w14:paraId="5936B8C0" w14:textId="77BE523F" w:rsidR="007F0D93" w:rsidRPr="007821BF" w:rsidRDefault="007F0D93" w:rsidP="007821BF">
      <w:pPr>
        <w:spacing w:after="0" w:line="288" w:lineRule="auto"/>
        <w:jc w:val="both"/>
      </w:pPr>
      <w:r w:rsidRPr="007821BF">
        <w:t xml:space="preserve">According to some commentators, the </w:t>
      </w:r>
      <w:r w:rsidR="00E76364">
        <w:t>ensuing personal stress may deplete</w:t>
      </w:r>
      <w:r w:rsidR="00511251">
        <w:t xml:space="preserve"> an individual’s sense of self-worth (</w:t>
      </w:r>
      <w:r w:rsidR="00D973C4">
        <w:t>Edwards and Sylaska, 2013</w:t>
      </w:r>
      <w:r w:rsidR="00511251">
        <w:t>) and foster “…a high level of inadequacy and powerlessness” (</w:t>
      </w:r>
      <w:r w:rsidR="003810DB">
        <w:t>Campo and Tayton, 2015</w:t>
      </w:r>
      <w:r w:rsidR="00E42E74">
        <w:t>), inducing</w:t>
      </w:r>
      <w:r w:rsidR="00511251" w:rsidRPr="007821BF">
        <w:t xml:space="preserve"> </w:t>
      </w:r>
      <w:r w:rsidR="00CE4740" w:rsidRPr="007821BF">
        <w:t xml:space="preserve">many </w:t>
      </w:r>
      <w:r w:rsidR="00FF015B">
        <w:t xml:space="preserve">LGBTI individuals </w:t>
      </w:r>
      <w:r w:rsidR="00CE4740" w:rsidRPr="007821BF">
        <w:t>to conceal</w:t>
      </w:r>
      <w:r w:rsidRPr="007821BF">
        <w:t xml:space="preserve"> their gender </w:t>
      </w:r>
      <w:r w:rsidR="00E42E74" w:rsidRPr="007821BF">
        <w:t xml:space="preserve">identity </w:t>
      </w:r>
      <w:r w:rsidRPr="007821BF">
        <w:t>and sexual</w:t>
      </w:r>
      <w:r w:rsidR="00E42E74" w:rsidRPr="007821BF">
        <w:t>ity</w:t>
      </w:r>
      <w:r w:rsidRPr="007821BF">
        <w:t xml:space="preserve"> </w:t>
      </w:r>
      <w:r w:rsidR="008F3875" w:rsidRPr="007821BF">
        <w:t>(</w:t>
      </w:r>
      <w:r w:rsidR="00D973C4">
        <w:t>Goldenberg et al, 2016</w:t>
      </w:r>
      <w:r w:rsidR="008F3875" w:rsidRPr="007821BF">
        <w:t>)</w:t>
      </w:r>
      <w:r w:rsidR="008F3875" w:rsidRPr="00FF015B">
        <w:rPr>
          <w:sz w:val="14"/>
          <w:szCs w:val="14"/>
        </w:rPr>
        <w:footnoteReference w:id="3"/>
      </w:r>
      <w:r w:rsidR="00CE4740" w:rsidRPr="007821BF">
        <w:t xml:space="preserve"> and</w:t>
      </w:r>
      <w:r w:rsidRPr="007821BF">
        <w:t xml:space="preserve"> </w:t>
      </w:r>
      <w:r w:rsidR="00E42E74" w:rsidRPr="007821BF">
        <w:t xml:space="preserve">to </w:t>
      </w:r>
      <w:r w:rsidRPr="007821BF">
        <w:t xml:space="preserve">internalize homophobic </w:t>
      </w:r>
      <w:r w:rsidR="000E26F1" w:rsidRPr="007821BF">
        <w:t>attitudes</w:t>
      </w:r>
      <w:r w:rsidR="008F3875" w:rsidRPr="007821BF">
        <w:t xml:space="preserve"> (Fairchild, 2020; </w:t>
      </w:r>
      <w:r w:rsidR="00230B66">
        <w:t>Meyer, 2003</w:t>
      </w:r>
      <w:r w:rsidR="008F3875" w:rsidRPr="007821BF">
        <w:t>)</w:t>
      </w:r>
      <w:r w:rsidR="00E42E74" w:rsidRPr="007821BF">
        <w:t xml:space="preserve">. It is proposed that </w:t>
      </w:r>
      <w:r w:rsidR="002E2518">
        <w:t xml:space="preserve">for some individuals, the stress arising from their experiences of abuse, the necessity to conceal their identity or sexuality, and internalized homophobic attitudes, </w:t>
      </w:r>
      <w:r w:rsidR="00E42E74" w:rsidRPr="007821BF">
        <w:t>may fuel</w:t>
      </w:r>
      <w:r w:rsidRPr="007821BF">
        <w:t xml:space="preserve"> conflict and violence toward their intimate partners (</w:t>
      </w:r>
      <w:r w:rsidR="00230B66">
        <w:t>Stephenson and Finneran, 2017</w:t>
      </w:r>
      <w:r w:rsidRPr="007821BF">
        <w:t xml:space="preserve">; </w:t>
      </w:r>
      <w:r w:rsidR="00BF57B7">
        <w:t>Rolle et al, 2018</w:t>
      </w:r>
      <w:r w:rsidRPr="007821BF">
        <w:t xml:space="preserve">; </w:t>
      </w:r>
      <w:r w:rsidR="00D973C4">
        <w:t>Edwards and Sylaska, 2013</w:t>
      </w:r>
      <w:r w:rsidRPr="007821BF">
        <w:t>).</w:t>
      </w:r>
    </w:p>
    <w:p w14:paraId="2FC0A44C" w14:textId="208D063C" w:rsidR="008B262F" w:rsidRDefault="00CE4740" w:rsidP="007821BF">
      <w:pPr>
        <w:spacing w:before="120" w:after="0" w:line="288" w:lineRule="auto"/>
        <w:jc w:val="both"/>
      </w:pPr>
      <w:r w:rsidRPr="007821BF">
        <w:t xml:space="preserve">Available evidence </w:t>
      </w:r>
      <w:r w:rsidR="001A332E">
        <w:t>extends</w:t>
      </w:r>
      <w:r w:rsidRPr="007821BF">
        <w:t xml:space="preserve"> </w:t>
      </w:r>
      <w:r w:rsidR="00D53279">
        <w:t>qualified</w:t>
      </w:r>
      <w:r w:rsidRPr="007821BF">
        <w:t xml:space="preserve"> support to this </w:t>
      </w:r>
      <w:r w:rsidR="008F3875" w:rsidRPr="007821BF">
        <w:t>proposition</w:t>
      </w:r>
      <w:r w:rsidR="00E718DA" w:rsidRPr="007821BF">
        <w:t>, linking</w:t>
      </w:r>
      <w:r w:rsidR="007F0D93" w:rsidRPr="007821BF">
        <w:t xml:space="preserve"> stress, </w:t>
      </w:r>
      <w:r w:rsidR="000E26F1" w:rsidRPr="007821BF">
        <w:t>homophobia</w:t>
      </w:r>
      <w:r w:rsidR="007F0D93" w:rsidRPr="007821BF">
        <w:t xml:space="preserve"> and concealment of identity,</w:t>
      </w:r>
      <w:r w:rsidR="00B17252" w:rsidRPr="007821BF">
        <w:t xml:space="preserve"> </w:t>
      </w:r>
      <w:r w:rsidR="007F0D93" w:rsidRPr="007821BF">
        <w:t xml:space="preserve">with intimate partner violence </w:t>
      </w:r>
      <w:r w:rsidRPr="007821BF">
        <w:t xml:space="preserve">among LGBTI individuals </w:t>
      </w:r>
      <w:r w:rsidR="007F0D93" w:rsidRPr="007821BF">
        <w:t>(</w:t>
      </w:r>
      <w:r w:rsidR="00D973C4">
        <w:t>Witoslawski, 2020</w:t>
      </w:r>
      <w:r w:rsidR="007F0D93" w:rsidRPr="007821BF">
        <w:t xml:space="preserve">; </w:t>
      </w:r>
      <w:r w:rsidR="00230B66">
        <w:t xml:space="preserve">Meyer, </w:t>
      </w:r>
      <w:r w:rsidR="00230B66">
        <w:lastRenderedPageBreak/>
        <w:t>2003</w:t>
      </w:r>
      <w:r w:rsidR="008B74B4" w:rsidRPr="007821BF">
        <w:t>). A US study of 311 college students</w:t>
      </w:r>
      <w:r w:rsidRPr="007821BF">
        <w:t xml:space="preserve"> for instance,</w:t>
      </w:r>
      <w:r w:rsidR="008B74B4" w:rsidRPr="007821BF">
        <w:t xml:space="preserve"> </w:t>
      </w:r>
      <w:r w:rsidR="00090322" w:rsidRPr="007821BF">
        <w:t>documented</w:t>
      </w:r>
      <w:r w:rsidR="008B74B4" w:rsidRPr="007821BF">
        <w:t xml:space="preserve"> </w:t>
      </w:r>
      <w:r w:rsidR="00B17252" w:rsidRPr="007821BF">
        <w:t>a</w:t>
      </w:r>
      <w:r w:rsidR="008B74B4" w:rsidRPr="007821BF">
        <w:t>n association between ‘</w:t>
      </w:r>
      <w:r w:rsidR="000E26F1" w:rsidRPr="007821BF">
        <w:t>internalized</w:t>
      </w:r>
      <w:r w:rsidR="008B74B4" w:rsidRPr="007821BF">
        <w:t xml:space="preserve"> homophobia’ and the experience of physical and sexual violence with </w:t>
      </w:r>
      <w:r w:rsidR="00B17252" w:rsidRPr="007821BF">
        <w:t>relationships</w:t>
      </w:r>
      <w:r w:rsidR="008B74B4" w:rsidRPr="007821BF">
        <w:t xml:space="preserve"> (</w:t>
      </w:r>
      <w:r w:rsidR="00D973C4">
        <w:t>Edwards and Sylaska, 2013</w:t>
      </w:r>
      <w:r w:rsidR="008B74B4" w:rsidRPr="007821BF">
        <w:t>).</w:t>
      </w:r>
      <w:r w:rsidR="00B17252" w:rsidRPr="007821BF">
        <w:t xml:space="preserve"> </w:t>
      </w:r>
      <w:r w:rsidR="008B74B4" w:rsidRPr="007821BF">
        <w:t>S</w:t>
      </w:r>
      <w:r w:rsidR="00B17252" w:rsidRPr="007821BF">
        <w:t>i</w:t>
      </w:r>
      <w:r w:rsidR="008B74B4" w:rsidRPr="007821BF">
        <w:t xml:space="preserve">milarly, a survey of 1,045 lesbian women </w:t>
      </w:r>
      <w:r w:rsidR="00E718DA" w:rsidRPr="007821BF">
        <w:t>discerned</w:t>
      </w:r>
      <w:r w:rsidR="008B74B4" w:rsidRPr="007821BF">
        <w:t xml:space="preserve"> a </w:t>
      </w:r>
      <w:r w:rsidR="00E718DA" w:rsidRPr="007821BF">
        <w:t>link</w:t>
      </w:r>
      <w:r w:rsidR="008B74B4" w:rsidRPr="007821BF">
        <w:t xml:space="preserve"> between discrimination and internalized homophobia, </w:t>
      </w:r>
      <w:r w:rsidR="00E76364">
        <w:t>and</w:t>
      </w:r>
      <w:r w:rsidR="008B74B4" w:rsidRPr="007821BF">
        <w:t xml:space="preserve"> intimate partner violence</w:t>
      </w:r>
      <w:r w:rsidR="008B74B4">
        <w:t xml:space="preserve"> (</w:t>
      </w:r>
      <w:r w:rsidR="00D973C4">
        <w:t>Lewis et al, 2016</w:t>
      </w:r>
      <w:r w:rsidR="008B74B4">
        <w:t xml:space="preserve">). </w:t>
      </w:r>
      <w:r w:rsidR="00230B66">
        <w:t>Meyer</w:t>
      </w:r>
      <w:r w:rsidR="008F4312">
        <w:t xml:space="preserve"> (</w:t>
      </w:r>
      <w:r w:rsidR="00230B66">
        <w:t>2003</w:t>
      </w:r>
      <w:r w:rsidR="008F4312">
        <w:t>)</w:t>
      </w:r>
      <w:r w:rsidR="008B74B4">
        <w:t xml:space="preserve"> cites further </w:t>
      </w:r>
      <w:r w:rsidR="000E26F1">
        <w:t>evidence</w:t>
      </w:r>
      <w:r w:rsidR="008B74B4">
        <w:t xml:space="preserve"> </w:t>
      </w:r>
      <w:r w:rsidR="001A332E">
        <w:t>pointing to a relationship between</w:t>
      </w:r>
      <w:r w:rsidR="008B74B4">
        <w:t xml:space="preserve"> con</w:t>
      </w:r>
      <w:r w:rsidR="00B17252">
        <w:t>c</w:t>
      </w:r>
      <w:r w:rsidR="008B74B4">
        <w:t>e</w:t>
      </w:r>
      <w:r w:rsidR="00B17252">
        <w:t>a</w:t>
      </w:r>
      <w:r w:rsidR="008B74B4">
        <w:t>lment of identity</w:t>
      </w:r>
      <w:r w:rsidR="00E718DA">
        <w:t xml:space="preserve"> and intimate partner violence</w:t>
      </w:r>
      <w:r w:rsidR="008B74B4">
        <w:t>.</w:t>
      </w:r>
    </w:p>
    <w:p w14:paraId="5E7DF51E" w14:textId="616908F9" w:rsidR="007F0D93" w:rsidRPr="007821BF" w:rsidRDefault="00BC49CD" w:rsidP="007821BF">
      <w:pPr>
        <w:spacing w:after="0" w:line="288" w:lineRule="auto"/>
        <w:jc w:val="both"/>
      </w:pPr>
      <w:r>
        <w:t>O</w:t>
      </w:r>
      <w:r w:rsidR="008F3875">
        <w:t>ther researchers</w:t>
      </w:r>
      <w:r>
        <w:t xml:space="preserve"> though,</w:t>
      </w:r>
      <w:r w:rsidR="008B74B4">
        <w:t xml:space="preserve"> contend that the </w:t>
      </w:r>
      <w:r w:rsidR="00E76364">
        <w:t>connection</w:t>
      </w:r>
      <w:r w:rsidR="008B74B4">
        <w:t xml:space="preserve"> between </w:t>
      </w:r>
      <w:r w:rsidR="000E26F1">
        <w:t>minority</w:t>
      </w:r>
      <w:r w:rsidR="008B74B4">
        <w:t xml:space="preserve"> stress </w:t>
      </w:r>
      <w:r w:rsidR="003C2326">
        <w:t xml:space="preserve">on the one hand </w:t>
      </w:r>
      <w:r w:rsidR="008B74B4">
        <w:t xml:space="preserve">– including homophobia and </w:t>
      </w:r>
      <w:r w:rsidR="008B74B4" w:rsidRPr="007821BF">
        <w:t>concealment of identity – and intimate partner violen</w:t>
      </w:r>
      <w:r w:rsidR="003C2326" w:rsidRPr="007821BF">
        <w:t>c</w:t>
      </w:r>
      <w:r w:rsidR="008B74B4" w:rsidRPr="007821BF">
        <w:t>e</w:t>
      </w:r>
      <w:r w:rsidR="00776321" w:rsidRPr="007821BF">
        <w:t>,</w:t>
      </w:r>
      <w:r w:rsidR="003C2326" w:rsidRPr="007821BF">
        <w:t xml:space="preserve"> on the other,</w:t>
      </w:r>
      <w:r w:rsidR="008B74B4" w:rsidRPr="007821BF">
        <w:t xml:space="preserve"> </w:t>
      </w:r>
      <w:r w:rsidR="003C2326" w:rsidRPr="007821BF">
        <w:t>remains unproven</w:t>
      </w:r>
      <w:r w:rsidR="008B74B4" w:rsidRPr="007821BF">
        <w:t xml:space="preserve"> by the available evidence </w:t>
      </w:r>
      <w:r w:rsidR="003C2326" w:rsidRPr="007821BF">
        <w:t>(</w:t>
      </w:r>
      <w:r w:rsidR="00230B66">
        <w:t>Stephenson and Finneran, 2017</w:t>
      </w:r>
      <w:r w:rsidR="008B74B4" w:rsidRPr="007821BF">
        <w:t xml:space="preserve">; </w:t>
      </w:r>
      <w:r w:rsidR="00D973C4">
        <w:t>Balsam and Szymanski, 2005</w:t>
      </w:r>
      <w:r w:rsidRPr="007821BF">
        <w:t xml:space="preserve">; </w:t>
      </w:r>
      <w:r w:rsidR="00BF57B7">
        <w:t>Rolle et al, 2018</w:t>
      </w:r>
      <w:r w:rsidR="008B74B4" w:rsidRPr="007821BF">
        <w:t>).</w:t>
      </w:r>
    </w:p>
    <w:p w14:paraId="02B8A75D" w14:textId="5932383B" w:rsidR="000D0C80" w:rsidRPr="000D0C80" w:rsidRDefault="000D0C80" w:rsidP="009319E2">
      <w:pPr>
        <w:spacing w:after="0"/>
        <w:jc w:val="center"/>
        <w:rPr>
          <w:sz w:val="16"/>
          <w:szCs w:val="16"/>
          <w:lang w:val="en-GB"/>
        </w:rPr>
      </w:pPr>
      <w:r w:rsidRPr="000D0C80">
        <w:rPr>
          <w:sz w:val="16"/>
          <w:szCs w:val="16"/>
          <w:lang w:val="en-GB"/>
        </w:rPr>
        <w:t>*   *   *   *</w:t>
      </w:r>
    </w:p>
    <w:p w14:paraId="27B5FC17" w14:textId="2EFBD2C7" w:rsidR="000D0C80" w:rsidRDefault="000D0C80" w:rsidP="007821BF">
      <w:pPr>
        <w:spacing w:after="0" w:line="288" w:lineRule="auto"/>
        <w:jc w:val="both"/>
      </w:pPr>
      <w:r w:rsidRPr="007821BF">
        <w:t xml:space="preserve">Both frameworks are founded upon the </w:t>
      </w:r>
      <w:r w:rsidR="00E76364">
        <w:t>proposition</w:t>
      </w:r>
      <w:r w:rsidRPr="007821BF">
        <w:t xml:space="preserve"> that antagonistic public attitudes towards LGBTI people trigger a sequence of events which contribute to </w:t>
      </w:r>
      <w:r w:rsidR="00721594">
        <w:t xml:space="preserve">violence and </w:t>
      </w:r>
      <w:r w:rsidRPr="007821BF">
        <w:t xml:space="preserve">abuse within some LGBTI relationships. As such, </w:t>
      </w:r>
      <w:r w:rsidR="001A332E">
        <w:t>both</w:t>
      </w:r>
      <w:r w:rsidRPr="007821BF">
        <w:t xml:space="preserve"> frameworks point to</w:t>
      </w:r>
      <w:r w:rsidR="006A600B">
        <w:t xml:space="preserve"> the</w:t>
      </w:r>
      <w:r w:rsidRPr="007821BF">
        <w:t xml:space="preserve"> </w:t>
      </w:r>
      <w:r w:rsidR="00106B93">
        <w:t>goal of dispelling</w:t>
      </w:r>
      <w:r w:rsidRPr="007821BF">
        <w:t xml:space="preserve"> such attitudes</w:t>
      </w:r>
      <w:r w:rsidR="00D53279">
        <w:t xml:space="preserve">, while </w:t>
      </w:r>
      <w:r w:rsidR="00106B93">
        <w:t>fostering</w:t>
      </w:r>
      <w:r w:rsidRPr="007821BF">
        <w:t xml:space="preserve"> respect for diverse, healthy identities and sexuality, as important directions in efforts to prevent intimate partner abuse.</w:t>
      </w:r>
    </w:p>
    <w:p w14:paraId="6F79AF88" w14:textId="77777777" w:rsidR="00F72B3F" w:rsidRDefault="00F72B3F" w:rsidP="007821BF">
      <w:pPr>
        <w:spacing w:after="0" w:line="288" w:lineRule="auto"/>
        <w:jc w:val="both"/>
        <w:rPr>
          <w:sz w:val="12"/>
          <w:szCs w:val="12"/>
        </w:rPr>
      </w:pPr>
    </w:p>
    <w:p w14:paraId="574D16CE" w14:textId="2A201237" w:rsidR="008B74B4" w:rsidRPr="00EC5C21" w:rsidRDefault="008B74B4" w:rsidP="007821BF">
      <w:pPr>
        <w:spacing w:after="60" w:line="240" w:lineRule="auto"/>
        <w:jc w:val="both"/>
        <w:rPr>
          <w:b/>
          <w:bCs/>
          <w:color w:val="1F3864" w:themeColor="accent1" w:themeShade="80"/>
          <w:lang w:val="en-AU"/>
        </w:rPr>
      </w:pPr>
      <w:r w:rsidRPr="00EC5C21">
        <w:rPr>
          <w:b/>
          <w:bCs/>
          <w:color w:val="1F3864" w:themeColor="accent1" w:themeShade="80"/>
          <w:lang w:val="en-AU"/>
        </w:rPr>
        <w:t xml:space="preserve">Barriers to </w:t>
      </w:r>
      <w:r w:rsidR="000D0C80" w:rsidRPr="00EC5C21">
        <w:rPr>
          <w:b/>
          <w:bCs/>
          <w:color w:val="1F3864" w:themeColor="accent1" w:themeShade="80"/>
          <w:lang w:val="en-AU"/>
        </w:rPr>
        <w:t>R</w:t>
      </w:r>
      <w:r w:rsidRPr="00EC5C21">
        <w:rPr>
          <w:b/>
          <w:bCs/>
          <w:color w:val="1F3864" w:themeColor="accent1" w:themeShade="80"/>
          <w:lang w:val="en-AU"/>
        </w:rPr>
        <w:t>eporting</w:t>
      </w:r>
      <w:r w:rsidR="008B262F" w:rsidRPr="00EC5C21">
        <w:rPr>
          <w:b/>
          <w:bCs/>
          <w:color w:val="1F3864" w:themeColor="accent1" w:themeShade="80"/>
          <w:lang w:val="en-AU"/>
        </w:rPr>
        <w:t xml:space="preserve"> </w:t>
      </w:r>
      <w:r w:rsidR="000D0C80" w:rsidRPr="00EC5C21">
        <w:rPr>
          <w:b/>
          <w:bCs/>
          <w:color w:val="1F3864" w:themeColor="accent1" w:themeShade="80"/>
          <w:lang w:val="en-AU"/>
        </w:rPr>
        <w:t xml:space="preserve">Intimate Partner Violence </w:t>
      </w:r>
      <w:r w:rsidR="008B262F" w:rsidRPr="00EC5C21">
        <w:rPr>
          <w:b/>
          <w:bCs/>
          <w:color w:val="1F3864" w:themeColor="accent1" w:themeShade="80"/>
          <w:lang w:val="en-AU"/>
        </w:rPr>
        <w:t xml:space="preserve">and </w:t>
      </w:r>
      <w:r w:rsidR="000D0C80" w:rsidRPr="00EC5C21">
        <w:rPr>
          <w:b/>
          <w:bCs/>
          <w:color w:val="1F3864" w:themeColor="accent1" w:themeShade="80"/>
          <w:lang w:val="en-AU"/>
        </w:rPr>
        <w:t>S</w:t>
      </w:r>
      <w:r w:rsidRPr="00EC5C21">
        <w:rPr>
          <w:b/>
          <w:bCs/>
          <w:color w:val="1F3864" w:themeColor="accent1" w:themeShade="80"/>
          <w:lang w:val="en-AU"/>
        </w:rPr>
        <w:t xml:space="preserve">eeking </w:t>
      </w:r>
      <w:r w:rsidR="000D0C80" w:rsidRPr="00EC5C21">
        <w:rPr>
          <w:b/>
          <w:bCs/>
          <w:color w:val="1F3864" w:themeColor="accent1" w:themeShade="80"/>
          <w:lang w:val="en-AU"/>
        </w:rPr>
        <w:t>A</w:t>
      </w:r>
      <w:r w:rsidRPr="00EC5C21">
        <w:rPr>
          <w:b/>
          <w:bCs/>
          <w:color w:val="1F3864" w:themeColor="accent1" w:themeShade="80"/>
          <w:lang w:val="en-AU"/>
        </w:rPr>
        <w:t xml:space="preserve">ssistance </w:t>
      </w:r>
    </w:p>
    <w:p w14:paraId="4CAC2ECE" w14:textId="2A4FE51A" w:rsidR="008B74B4" w:rsidRDefault="000672E9" w:rsidP="007821BF">
      <w:pPr>
        <w:spacing w:after="0" w:line="288" w:lineRule="auto"/>
        <w:jc w:val="both"/>
      </w:pPr>
      <w:r w:rsidRPr="007821BF">
        <w:t xml:space="preserve">Circumstances which prevent or inhibit LGBTI </w:t>
      </w:r>
      <w:r w:rsidR="006751DD" w:rsidRPr="007821BF">
        <w:t>individuals</w:t>
      </w:r>
      <w:r w:rsidRPr="007821BF">
        <w:t xml:space="preserve"> from obtaining support in relation to intimate partner </w:t>
      </w:r>
      <w:r w:rsidR="006751DD" w:rsidRPr="007821BF">
        <w:t>violence</w:t>
      </w:r>
      <w:r w:rsidRPr="007821BF">
        <w:t xml:space="preserve"> include </w:t>
      </w:r>
      <w:r w:rsidR="006751DD" w:rsidRPr="007821BF">
        <w:t>misconceptions</w:t>
      </w:r>
      <w:r w:rsidRPr="007821BF">
        <w:t xml:space="preserve"> about the nature of such </w:t>
      </w:r>
      <w:r w:rsidR="006751DD" w:rsidRPr="007821BF">
        <w:t>violence</w:t>
      </w:r>
      <w:r w:rsidR="00555046" w:rsidRPr="007821BF">
        <w:t>;</w:t>
      </w:r>
      <w:r w:rsidRPr="007821BF">
        <w:t xml:space="preserve"> concerns about the impact of </w:t>
      </w:r>
      <w:r w:rsidR="006751DD" w:rsidRPr="007821BF">
        <w:t>disclosure</w:t>
      </w:r>
      <w:r w:rsidRPr="007821BF">
        <w:t xml:space="preserve"> </w:t>
      </w:r>
      <w:r w:rsidR="006751DD" w:rsidRPr="007821BF">
        <w:t>upon</w:t>
      </w:r>
      <w:r w:rsidRPr="007821BF">
        <w:t xml:space="preserve"> their partner or wider community; </w:t>
      </w:r>
      <w:r w:rsidR="00D53279">
        <w:t xml:space="preserve">limited </w:t>
      </w:r>
      <w:r w:rsidR="00096335" w:rsidRPr="007821BF">
        <w:t xml:space="preserve">access to support from the LGBTI community; </w:t>
      </w:r>
      <w:r w:rsidRPr="007821BF">
        <w:t xml:space="preserve">and the actual or </w:t>
      </w:r>
      <w:r w:rsidR="006751DD" w:rsidRPr="007821BF">
        <w:t>perceived</w:t>
      </w:r>
      <w:r w:rsidRPr="007821BF">
        <w:t xml:space="preserve"> </w:t>
      </w:r>
      <w:r w:rsidR="00555046" w:rsidRPr="007821BF">
        <w:t>quality</w:t>
      </w:r>
      <w:r w:rsidRPr="007821BF">
        <w:t xml:space="preserve"> of support available from external agencies</w:t>
      </w:r>
      <w:r w:rsidR="00D53279">
        <w:t xml:space="preserve">, including the </w:t>
      </w:r>
      <w:r w:rsidRPr="007821BF">
        <w:t>police.</w:t>
      </w:r>
    </w:p>
    <w:p w14:paraId="3330CE3F" w14:textId="38B33091" w:rsidR="00EB2820" w:rsidRPr="00555046" w:rsidRDefault="00EB2820" w:rsidP="000F756B">
      <w:pPr>
        <w:spacing w:before="60" w:after="40" w:line="240" w:lineRule="auto"/>
        <w:jc w:val="both"/>
        <w:rPr>
          <w:i/>
          <w:iCs/>
        </w:rPr>
      </w:pPr>
      <w:r w:rsidRPr="00555046">
        <w:rPr>
          <w:i/>
          <w:iCs/>
        </w:rPr>
        <w:t>Lack of acknowledgement of violence</w:t>
      </w:r>
    </w:p>
    <w:p w14:paraId="5636C325" w14:textId="0DD1ECC5" w:rsidR="005105DD" w:rsidRPr="007821BF" w:rsidRDefault="000672E9" w:rsidP="007821BF">
      <w:pPr>
        <w:spacing w:after="0" w:line="288" w:lineRule="auto"/>
        <w:jc w:val="both"/>
      </w:pPr>
      <w:r w:rsidRPr="007821BF">
        <w:t xml:space="preserve">It is widely noted that intimate partner violence is </w:t>
      </w:r>
      <w:r w:rsidR="00EE5429">
        <w:t>often</w:t>
      </w:r>
      <w:r w:rsidRPr="007821BF">
        <w:t xml:space="preserve"> </w:t>
      </w:r>
      <w:r w:rsidR="006751DD" w:rsidRPr="007821BF">
        <w:t>unacknowledged</w:t>
      </w:r>
      <w:r w:rsidR="00FE439C" w:rsidRPr="007821BF">
        <w:t>,</w:t>
      </w:r>
      <w:r w:rsidRPr="007821BF">
        <w:t xml:space="preserve"> including among </w:t>
      </w:r>
      <w:r w:rsidR="00981D6E">
        <w:t>the LGBTI community</w:t>
      </w:r>
      <w:r w:rsidRPr="007821BF">
        <w:t xml:space="preserve"> </w:t>
      </w:r>
      <w:r w:rsidR="00981D6E">
        <w:t>itself</w:t>
      </w:r>
      <w:r w:rsidRPr="007821BF">
        <w:t xml:space="preserve"> (</w:t>
      </w:r>
      <w:r w:rsidR="00C1111F">
        <w:t>National Coalition Against Domestic Violence, undated</w:t>
      </w:r>
      <w:r w:rsidRPr="007821BF">
        <w:t xml:space="preserve">; </w:t>
      </w:r>
      <w:r w:rsidR="003810DB">
        <w:t>Our Watch, 2017</w:t>
      </w:r>
      <w:r w:rsidRPr="007821BF">
        <w:t>)</w:t>
      </w:r>
      <w:r w:rsidR="00096335" w:rsidRPr="007821BF">
        <w:t xml:space="preserve">. </w:t>
      </w:r>
      <w:r w:rsidR="003810DB">
        <w:t>Campo and Tayton</w:t>
      </w:r>
      <w:r w:rsidR="00586A85">
        <w:t xml:space="preserve"> (</w:t>
      </w:r>
      <w:r w:rsidR="003810DB">
        <w:t>2015</w:t>
      </w:r>
      <w:r w:rsidR="00586A85">
        <w:t>)</w:t>
      </w:r>
      <w:r w:rsidR="00EE00BB">
        <w:t xml:space="preserve"> express the view that failure to </w:t>
      </w:r>
      <w:r w:rsidR="00D53279">
        <w:t>clearly perceive</w:t>
      </w:r>
      <w:r w:rsidR="00EE00BB">
        <w:t xml:space="preserve"> the extent and impact of imitate partner violence among </w:t>
      </w:r>
      <w:r w:rsidR="003962AB">
        <w:t xml:space="preserve">members of </w:t>
      </w:r>
      <w:r w:rsidR="00981D6E">
        <w:t>LGBTI communities</w:t>
      </w:r>
      <w:r w:rsidR="00EE00BB">
        <w:t xml:space="preserve"> contributes to underreporting of such incidents and a </w:t>
      </w:r>
      <w:r w:rsidR="00106B93">
        <w:t>tendency to minimize</w:t>
      </w:r>
      <w:r w:rsidR="00EE00BB">
        <w:t xml:space="preserve"> its impact.</w:t>
      </w:r>
    </w:p>
    <w:p w14:paraId="38D181BA" w14:textId="11BF35C1" w:rsidR="00EB2820" w:rsidRPr="007821BF" w:rsidRDefault="00EB2820" w:rsidP="007821BF">
      <w:pPr>
        <w:spacing w:after="0" w:line="288" w:lineRule="auto"/>
        <w:jc w:val="both"/>
      </w:pPr>
      <w:r w:rsidRPr="007821BF">
        <w:t>One cause</w:t>
      </w:r>
      <w:r w:rsidR="000672E9" w:rsidRPr="007821BF">
        <w:t xml:space="preserve"> </w:t>
      </w:r>
      <w:r w:rsidR="00F72B3F">
        <w:t>may relate</w:t>
      </w:r>
      <w:r w:rsidR="000672E9" w:rsidRPr="007821BF">
        <w:t xml:space="preserve"> to limited </w:t>
      </w:r>
      <w:r w:rsidR="006751DD" w:rsidRPr="007821BF">
        <w:t>understanding</w:t>
      </w:r>
      <w:r w:rsidR="000672E9" w:rsidRPr="007821BF">
        <w:t xml:space="preserve"> of the nature of intimate partner violence. </w:t>
      </w:r>
      <w:r w:rsidR="006751DD" w:rsidRPr="007821BF">
        <w:t>Commentators</w:t>
      </w:r>
      <w:r w:rsidR="000672E9" w:rsidRPr="007821BF">
        <w:t xml:space="preserve"> </w:t>
      </w:r>
      <w:r w:rsidR="006751DD" w:rsidRPr="007821BF">
        <w:t>observe</w:t>
      </w:r>
      <w:r w:rsidR="000672E9" w:rsidRPr="007821BF">
        <w:t xml:space="preserve"> that </w:t>
      </w:r>
      <w:r w:rsidR="003962AB">
        <w:t>some</w:t>
      </w:r>
      <w:r w:rsidR="000672E9" w:rsidRPr="007821BF">
        <w:t xml:space="preserve"> LGBTI individuals do not recogni</w:t>
      </w:r>
      <w:r w:rsidR="001E30BE">
        <w:t>z</w:t>
      </w:r>
      <w:r w:rsidR="000672E9" w:rsidRPr="007821BF">
        <w:t xml:space="preserve">e their </w:t>
      </w:r>
      <w:r w:rsidR="006751DD" w:rsidRPr="007821BF">
        <w:t>experience</w:t>
      </w:r>
      <w:r w:rsidR="000672E9" w:rsidRPr="007821BF">
        <w:t xml:space="preserve"> of coercive control </w:t>
      </w:r>
      <w:r w:rsidR="006751DD" w:rsidRPr="007821BF">
        <w:t>within</w:t>
      </w:r>
      <w:r w:rsidR="000672E9" w:rsidRPr="007821BF">
        <w:t xml:space="preserve"> a relationship as a form of </w:t>
      </w:r>
      <w:r w:rsidR="006751DD" w:rsidRPr="007821BF">
        <w:t>abuse</w:t>
      </w:r>
      <w:r w:rsidR="000672E9" w:rsidRPr="007821BF">
        <w:t xml:space="preserve"> (</w:t>
      </w:r>
      <w:r w:rsidR="00770866">
        <w:t>Leith et al, 2020</w:t>
      </w:r>
      <w:r w:rsidR="00FE439C" w:rsidRPr="007821BF">
        <w:t xml:space="preserve">; </w:t>
      </w:r>
      <w:r w:rsidR="00A4596D">
        <w:t>Donovan, 2006</w:t>
      </w:r>
      <w:r w:rsidR="00FE439C" w:rsidRPr="007821BF">
        <w:t>).</w:t>
      </w:r>
      <w:r w:rsidR="000672E9" w:rsidRPr="007821BF">
        <w:t xml:space="preserve"> </w:t>
      </w:r>
      <w:r w:rsidR="00096335" w:rsidRPr="007821BF">
        <w:t xml:space="preserve">Lettelier et al (1994) remark that many “…lack the awareness and language to describe their own victimization and therefore fail to take steps necessary to leave their violent partners.” </w:t>
      </w:r>
      <w:r w:rsidR="001E30BE">
        <w:t>Indeed</w:t>
      </w:r>
      <w:r w:rsidR="00096335" w:rsidRPr="007821BF">
        <w:t xml:space="preserve">, </w:t>
      </w:r>
      <w:r w:rsidR="000672E9" w:rsidRPr="007821BF">
        <w:t xml:space="preserve">Merrill and Wolf (2000) found that limited understanding of </w:t>
      </w:r>
      <w:r w:rsidR="006751DD" w:rsidRPr="007821BF">
        <w:t>intimate</w:t>
      </w:r>
      <w:r w:rsidR="000672E9" w:rsidRPr="007821BF">
        <w:t xml:space="preserve"> partner violence was the </w:t>
      </w:r>
      <w:r w:rsidR="006751DD" w:rsidRPr="007821BF">
        <w:t>third</w:t>
      </w:r>
      <w:r w:rsidR="000672E9" w:rsidRPr="007821BF">
        <w:t xml:space="preserve"> most common reason for remaining in an abusive relationship – after financial and emotional dependence (Cited in </w:t>
      </w:r>
      <w:r w:rsidR="00BF57B7">
        <w:t>Rolle et al, 2018</w:t>
      </w:r>
      <w:r w:rsidR="000672E9" w:rsidRPr="007821BF">
        <w:t>).</w:t>
      </w:r>
    </w:p>
    <w:p w14:paraId="53FA253F" w14:textId="400D4FD9" w:rsidR="000672E9" w:rsidRPr="007821BF" w:rsidRDefault="001A332E" w:rsidP="007821BF">
      <w:pPr>
        <w:spacing w:after="0" w:line="288" w:lineRule="auto"/>
        <w:jc w:val="both"/>
      </w:pPr>
      <w:r>
        <w:t xml:space="preserve">Moreover, </w:t>
      </w:r>
      <w:r w:rsidR="000672E9" w:rsidRPr="007821BF">
        <w:t xml:space="preserve">Donovan and Hester (2010) </w:t>
      </w:r>
      <w:r w:rsidR="005B2EF3">
        <w:t xml:space="preserve">and others </w:t>
      </w:r>
      <w:r w:rsidR="000672E9" w:rsidRPr="007821BF">
        <w:t xml:space="preserve">maintain that the popular </w:t>
      </w:r>
      <w:r w:rsidR="00096335" w:rsidRPr="007821BF">
        <w:t>awareness</w:t>
      </w:r>
      <w:r w:rsidR="000672E9" w:rsidRPr="007821BF">
        <w:t xml:space="preserve"> of intimate partner abuse within heterosexual relationships may</w:t>
      </w:r>
      <w:r w:rsidR="001E30BE">
        <w:t xml:space="preserve"> </w:t>
      </w:r>
      <w:r w:rsidR="003962AB">
        <w:t>cause some to overlook</w:t>
      </w:r>
      <w:r w:rsidR="000672E9" w:rsidRPr="007821BF">
        <w:t xml:space="preserve"> its </w:t>
      </w:r>
      <w:r>
        <w:t>relevance to</w:t>
      </w:r>
      <w:r w:rsidR="000672E9" w:rsidRPr="007821BF">
        <w:t xml:space="preserve"> LGBTI </w:t>
      </w:r>
      <w:r w:rsidR="006751DD" w:rsidRPr="007821BF">
        <w:t>relationships</w:t>
      </w:r>
      <w:r w:rsidR="000672E9" w:rsidRPr="007821BF">
        <w:t xml:space="preserve">, </w:t>
      </w:r>
      <w:r w:rsidR="00F72B3F">
        <w:t>while</w:t>
      </w:r>
      <w:r w:rsidR="003962AB">
        <w:t xml:space="preserve"> </w:t>
      </w:r>
      <w:r w:rsidR="000D3F79">
        <w:t>reinforcing</w:t>
      </w:r>
      <w:r w:rsidR="005105DD" w:rsidRPr="007821BF">
        <w:t xml:space="preserve"> the </w:t>
      </w:r>
      <w:r w:rsidR="00FE439C" w:rsidRPr="007821BF">
        <w:t xml:space="preserve">widely-reported </w:t>
      </w:r>
      <w:r w:rsidR="005105DD" w:rsidRPr="007821BF">
        <w:t>illusion that women are not, and cannot be, violent within a relationship (</w:t>
      </w:r>
      <w:r w:rsidR="00BF57B7">
        <w:t>Stuart, 2018</w:t>
      </w:r>
      <w:r w:rsidR="002A01B8" w:rsidRPr="007821BF">
        <w:t xml:space="preserve">; </w:t>
      </w:r>
      <w:r w:rsidR="00BF57B7">
        <w:t>DVConnect, 2018</w:t>
      </w:r>
      <w:r w:rsidR="002A01B8" w:rsidRPr="007821BF">
        <w:t xml:space="preserve">; </w:t>
      </w:r>
      <w:r w:rsidR="00C1111F">
        <w:t>Toesland, 2020</w:t>
      </w:r>
      <w:r w:rsidR="002A01B8" w:rsidRPr="007821BF">
        <w:t>).</w:t>
      </w:r>
    </w:p>
    <w:p w14:paraId="78FC896F" w14:textId="0217E5A2" w:rsidR="00EB2820" w:rsidRPr="00555046" w:rsidRDefault="000978EE" w:rsidP="000F756B">
      <w:pPr>
        <w:spacing w:before="60" w:after="40" w:line="240" w:lineRule="auto"/>
        <w:jc w:val="both"/>
        <w:rPr>
          <w:i/>
          <w:iCs/>
        </w:rPr>
      </w:pPr>
      <w:r>
        <w:rPr>
          <w:i/>
          <w:iCs/>
        </w:rPr>
        <w:t>Perceptions that violence is inescapable</w:t>
      </w:r>
    </w:p>
    <w:p w14:paraId="236C2843" w14:textId="3A54A171" w:rsidR="001E30BE" w:rsidRDefault="00925F7F" w:rsidP="007821BF">
      <w:pPr>
        <w:spacing w:after="0" w:line="288" w:lineRule="auto"/>
        <w:jc w:val="both"/>
      </w:pPr>
      <w:r w:rsidRPr="007821BF">
        <w:t xml:space="preserve">Some victim/survivors of intimate partner violence within LGBTI relationships </w:t>
      </w:r>
      <w:r w:rsidR="00360BA7">
        <w:t>perceive</w:t>
      </w:r>
      <w:r w:rsidRPr="007821BF">
        <w:t xml:space="preserve"> that violence and abuse are an inescapable feature of relationships, </w:t>
      </w:r>
      <w:r w:rsidR="001A332E">
        <w:t xml:space="preserve">perhaps </w:t>
      </w:r>
      <w:r w:rsidRPr="007821BF">
        <w:t xml:space="preserve">owing to their experience of discrimination and abuse within their homes, schools and wider community, or </w:t>
      </w:r>
      <w:r w:rsidR="00B74DA8" w:rsidRPr="007821BF">
        <w:t xml:space="preserve">within </w:t>
      </w:r>
      <w:r w:rsidR="00F712E7">
        <w:t>past</w:t>
      </w:r>
      <w:r w:rsidR="001E30BE">
        <w:t xml:space="preserve"> </w:t>
      </w:r>
      <w:r w:rsidR="00B74DA8" w:rsidRPr="007821BF">
        <w:t xml:space="preserve">intimate relationships </w:t>
      </w:r>
      <w:r w:rsidRPr="007821BF">
        <w:t>(</w:t>
      </w:r>
      <w:r w:rsidR="00BF57B7">
        <w:t>Stuart, 2018</w:t>
      </w:r>
      <w:r w:rsidRPr="007821BF">
        <w:t>)</w:t>
      </w:r>
      <w:r w:rsidR="00B74DA8" w:rsidRPr="007821BF">
        <w:t xml:space="preserve">. </w:t>
      </w:r>
      <w:r w:rsidR="003962AB">
        <w:t xml:space="preserve">Lettelier (1994) </w:t>
      </w:r>
      <w:r w:rsidR="00D53279">
        <w:t>recalls</w:t>
      </w:r>
      <w:r w:rsidR="003962AB">
        <w:t xml:space="preserve"> o</w:t>
      </w:r>
      <w:r w:rsidR="00B74DA8" w:rsidRPr="007821BF">
        <w:t>ne victim/survivor</w:t>
      </w:r>
      <w:r w:rsidR="003962AB">
        <w:t>, who reflected</w:t>
      </w:r>
      <w:r w:rsidR="00B74DA8" w:rsidRPr="007821BF">
        <w:t>: “I basically accepted my relationship as common to the gay experience…it seemed to be normal” (Lettelier, 1994).</w:t>
      </w:r>
    </w:p>
    <w:p w14:paraId="05F4D887" w14:textId="220D3AE4" w:rsidR="002A01B8" w:rsidRDefault="00B74DA8" w:rsidP="007821BF">
      <w:pPr>
        <w:spacing w:after="0" w:line="288" w:lineRule="auto"/>
        <w:jc w:val="both"/>
      </w:pPr>
      <w:r w:rsidRPr="007821BF">
        <w:t xml:space="preserve">A related consideration is mentioned by </w:t>
      </w:r>
      <w:r w:rsidR="002A01B8" w:rsidRPr="007821BF">
        <w:t xml:space="preserve">Kai Noonan of the </w:t>
      </w:r>
      <w:r w:rsidR="003962AB" w:rsidRPr="003962AB">
        <w:t>AIDS Council of NSW</w:t>
      </w:r>
      <w:r w:rsidR="003962AB">
        <w:t xml:space="preserve"> (</w:t>
      </w:r>
      <w:r w:rsidR="002A01B8" w:rsidRPr="007821BF">
        <w:t>ACON</w:t>
      </w:r>
      <w:r w:rsidR="003962AB">
        <w:t>)</w:t>
      </w:r>
      <w:r w:rsidRPr="007821BF">
        <w:t>, who</w:t>
      </w:r>
      <w:r w:rsidR="002A01B8" w:rsidRPr="007821BF">
        <w:t xml:space="preserve"> ad</w:t>
      </w:r>
      <w:r w:rsidR="00FE439C" w:rsidRPr="007821BF">
        <w:t>d</w:t>
      </w:r>
      <w:r w:rsidR="002A01B8" w:rsidRPr="007821BF">
        <w:t xml:space="preserve">s that “many in the community have a higher threshold </w:t>
      </w:r>
      <w:r w:rsidR="006751DD" w:rsidRPr="007821BF">
        <w:t>when it</w:t>
      </w:r>
      <w:r w:rsidR="002A01B8" w:rsidRPr="007821BF">
        <w:t xml:space="preserve"> comes to tolerating abuse, </w:t>
      </w:r>
      <w:r w:rsidR="006751DD" w:rsidRPr="007821BF">
        <w:t>due to</w:t>
      </w:r>
      <w:r w:rsidR="002A01B8" w:rsidRPr="007821BF">
        <w:t xml:space="preserve"> a lifetime of </w:t>
      </w:r>
      <w:r w:rsidR="006751DD" w:rsidRPr="007821BF">
        <w:t xml:space="preserve">discrimination </w:t>
      </w:r>
      <w:r w:rsidR="002A01B8" w:rsidRPr="007821BF">
        <w:t>as part of a minority group.” (</w:t>
      </w:r>
      <w:r w:rsidR="003962AB">
        <w:t xml:space="preserve">cited in </w:t>
      </w:r>
      <w:r w:rsidR="00D973C4">
        <w:t>Witoslawski, 2020</w:t>
      </w:r>
      <w:r w:rsidR="002A01B8" w:rsidRPr="007821BF">
        <w:t>).</w:t>
      </w:r>
    </w:p>
    <w:p w14:paraId="39056FD9" w14:textId="3E2FB795" w:rsidR="00C52222" w:rsidRPr="00555046" w:rsidRDefault="00C52222" w:rsidP="00F72B3F">
      <w:pPr>
        <w:spacing w:before="60" w:after="40" w:line="240" w:lineRule="auto"/>
        <w:jc w:val="both"/>
        <w:rPr>
          <w:i/>
          <w:iCs/>
        </w:rPr>
      </w:pPr>
      <w:r w:rsidRPr="00555046">
        <w:rPr>
          <w:i/>
          <w:iCs/>
        </w:rPr>
        <w:lastRenderedPageBreak/>
        <w:t xml:space="preserve">Self-blame </w:t>
      </w:r>
    </w:p>
    <w:p w14:paraId="17CE3E19" w14:textId="443A87FF" w:rsidR="002A01B8" w:rsidRPr="007821BF" w:rsidRDefault="00FE439C" w:rsidP="007821BF">
      <w:pPr>
        <w:spacing w:after="0" w:line="288" w:lineRule="auto"/>
        <w:jc w:val="both"/>
      </w:pPr>
      <w:r w:rsidRPr="007821BF">
        <w:t xml:space="preserve">Some </w:t>
      </w:r>
      <w:r w:rsidR="00881CA2">
        <w:t xml:space="preserve">LGBTI individuals </w:t>
      </w:r>
      <w:r w:rsidRPr="007821BF">
        <w:t>may harbor the</w:t>
      </w:r>
      <w:r w:rsidR="002A01B8" w:rsidRPr="007821BF">
        <w:t xml:space="preserve"> misconception that if </w:t>
      </w:r>
      <w:r w:rsidR="00881CA2">
        <w:t>one</w:t>
      </w:r>
      <w:r w:rsidR="002A01B8" w:rsidRPr="007821BF">
        <w:t xml:space="preserve"> employ</w:t>
      </w:r>
      <w:r w:rsidR="001E30BE">
        <w:t>s</w:t>
      </w:r>
      <w:r w:rsidR="002A01B8" w:rsidRPr="007821BF">
        <w:t xml:space="preserve"> physical force to defend </w:t>
      </w:r>
      <w:r w:rsidR="006751DD" w:rsidRPr="007821BF">
        <w:t>themselves from</w:t>
      </w:r>
      <w:r w:rsidR="002A01B8" w:rsidRPr="007821BF">
        <w:t xml:space="preserve"> an aggressive partner</w:t>
      </w:r>
      <w:r w:rsidR="001E30BE">
        <w:t>,</w:t>
      </w:r>
      <w:r w:rsidR="002A01B8" w:rsidRPr="007821BF">
        <w:t xml:space="preserve"> they are equally </w:t>
      </w:r>
      <w:r w:rsidR="006751DD" w:rsidRPr="007821BF">
        <w:t>implicated</w:t>
      </w:r>
      <w:r w:rsidR="002A01B8" w:rsidRPr="007821BF">
        <w:t xml:space="preserve"> in the ensuing violence (Lettelier, 1994). In other </w:t>
      </w:r>
      <w:r w:rsidR="006751DD" w:rsidRPr="007821BF">
        <w:t>instances</w:t>
      </w:r>
      <w:r w:rsidR="00555046" w:rsidRPr="007821BF">
        <w:t>,</w:t>
      </w:r>
      <w:r w:rsidR="002A01B8" w:rsidRPr="007821BF">
        <w:t xml:space="preserve"> some may blame themselves for the </w:t>
      </w:r>
      <w:r w:rsidR="001E30BE">
        <w:t>abuse</w:t>
      </w:r>
      <w:r w:rsidR="002A01B8" w:rsidRPr="007821BF">
        <w:t>, owing to the</w:t>
      </w:r>
      <w:r w:rsidR="000D3F79">
        <w:t>ir</w:t>
      </w:r>
      <w:r w:rsidR="002A01B8" w:rsidRPr="007821BF">
        <w:t xml:space="preserve"> sexuality or gender (</w:t>
      </w:r>
      <w:r w:rsidR="00770866">
        <w:t>Stuart, 2018</w:t>
      </w:r>
      <w:r w:rsidR="002A01B8" w:rsidRPr="007821BF">
        <w:t xml:space="preserve">), </w:t>
      </w:r>
      <w:r w:rsidR="00881CA2">
        <w:t>and</w:t>
      </w:r>
      <w:r w:rsidR="001E30BE">
        <w:t xml:space="preserve"> </w:t>
      </w:r>
      <w:r w:rsidR="000D3F79">
        <w:t>some men</w:t>
      </w:r>
      <w:r w:rsidR="001E30BE">
        <w:t xml:space="preserve"> may be</w:t>
      </w:r>
      <w:r w:rsidR="002A01B8" w:rsidRPr="007821BF">
        <w:t xml:space="preserve"> </w:t>
      </w:r>
      <w:r w:rsidR="001E30BE">
        <w:t>reluctant</w:t>
      </w:r>
      <w:r w:rsidR="002A01B8" w:rsidRPr="007821BF">
        <w:t xml:space="preserve"> to perceive themselves as victims, supposing that a ‘</w:t>
      </w:r>
      <w:r w:rsidR="006751DD" w:rsidRPr="007821BF">
        <w:t>real man</w:t>
      </w:r>
      <w:r w:rsidR="002A01B8" w:rsidRPr="007821BF">
        <w:t xml:space="preserve">’ should have been able to defend </w:t>
      </w:r>
      <w:r w:rsidR="006A600B">
        <w:t>himself</w:t>
      </w:r>
      <w:r w:rsidR="002A01B8" w:rsidRPr="007821BF">
        <w:t xml:space="preserve"> against violence (Lettelier, 1994).</w:t>
      </w:r>
    </w:p>
    <w:p w14:paraId="4D66C61D" w14:textId="45B4A521" w:rsidR="00C52222" w:rsidRPr="00555046" w:rsidRDefault="00C52222" w:rsidP="00F72B3F">
      <w:pPr>
        <w:spacing w:before="60" w:after="40" w:line="240" w:lineRule="auto"/>
        <w:jc w:val="both"/>
        <w:rPr>
          <w:i/>
          <w:iCs/>
        </w:rPr>
      </w:pPr>
      <w:r w:rsidRPr="00555046">
        <w:rPr>
          <w:i/>
          <w:iCs/>
        </w:rPr>
        <w:t xml:space="preserve">Community connection </w:t>
      </w:r>
    </w:p>
    <w:p w14:paraId="05ECD070" w14:textId="10C7E199" w:rsidR="00FE439C" w:rsidRPr="007821BF" w:rsidRDefault="00D53279" w:rsidP="007821BF">
      <w:pPr>
        <w:spacing w:after="0" w:line="288" w:lineRule="auto"/>
        <w:jc w:val="both"/>
      </w:pPr>
      <w:r>
        <w:t>A f</w:t>
      </w:r>
      <w:r w:rsidR="002A01B8" w:rsidRPr="007821BF">
        <w:t xml:space="preserve">urther </w:t>
      </w:r>
      <w:r w:rsidR="000D3F79">
        <w:t>circumstance which may restrain some</w:t>
      </w:r>
      <w:r w:rsidR="001E30BE">
        <w:t xml:space="preserve"> </w:t>
      </w:r>
      <w:r w:rsidR="002A01B8" w:rsidRPr="007821BF">
        <w:t xml:space="preserve">from </w:t>
      </w:r>
      <w:r>
        <w:t>reporting</w:t>
      </w:r>
      <w:r w:rsidR="002A01B8" w:rsidRPr="007821BF">
        <w:t xml:space="preserve"> violence</w:t>
      </w:r>
      <w:r w:rsidR="001E30BE">
        <w:t>,</w:t>
      </w:r>
      <w:r w:rsidR="002A01B8" w:rsidRPr="007821BF">
        <w:t xml:space="preserve"> </w:t>
      </w:r>
      <w:r>
        <w:t>is</w:t>
      </w:r>
      <w:r w:rsidR="002A01B8" w:rsidRPr="007821BF">
        <w:t xml:space="preserve"> the </w:t>
      </w:r>
      <w:r w:rsidR="001E30BE">
        <w:t>concern</w:t>
      </w:r>
      <w:r w:rsidR="002A01B8" w:rsidRPr="007821BF">
        <w:t xml:space="preserve"> that </w:t>
      </w:r>
      <w:r w:rsidR="003962AB" w:rsidRPr="007821BF">
        <w:t xml:space="preserve">LGBTI people should be seen to </w:t>
      </w:r>
      <w:r w:rsidR="003962AB">
        <w:t>form</w:t>
      </w:r>
      <w:r w:rsidR="003962AB" w:rsidRPr="007821BF">
        <w:t xml:space="preserve"> relationships that are of the same merit </w:t>
      </w:r>
      <w:r w:rsidR="003962AB">
        <w:t>as</w:t>
      </w:r>
      <w:r w:rsidR="003962AB" w:rsidRPr="007821BF">
        <w:t xml:space="preserve"> any other</w:t>
      </w:r>
      <w:r w:rsidR="003962AB">
        <w:t xml:space="preserve">, with the implication that </w:t>
      </w:r>
      <w:r w:rsidR="006751DD" w:rsidRPr="007821BF">
        <w:t>speaking up</w:t>
      </w:r>
      <w:r w:rsidR="002A01B8" w:rsidRPr="007821BF">
        <w:t xml:space="preserve"> may </w:t>
      </w:r>
      <w:r w:rsidR="001E30BE">
        <w:t>discredit</w:t>
      </w:r>
      <w:r w:rsidR="002A01B8" w:rsidRPr="007821BF">
        <w:t xml:space="preserve"> </w:t>
      </w:r>
      <w:r w:rsidR="000D3F79">
        <w:t>the</w:t>
      </w:r>
      <w:r w:rsidR="00F712E7">
        <w:t>ir</w:t>
      </w:r>
      <w:r w:rsidR="002A01B8" w:rsidRPr="007821BF">
        <w:t xml:space="preserve"> community (</w:t>
      </w:r>
      <w:r w:rsidR="00BF57B7">
        <w:t>Stuart, 2018</w:t>
      </w:r>
      <w:r w:rsidR="002A01B8" w:rsidRPr="007821BF">
        <w:t xml:space="preserve">; </w:t>
      </w:r>
      <w:r w:rsidR="00C1111F">
        <w:t>Selinger-Morris, 2018</w:t>
      </w:r>
      <w:r w:rsidR="002A01B8" w:rsidRPr="007821BF">
        <w:t xml:space="preserve">; </w:t>
      </w:r>
      <w:r w:rsidR="00C1111F">
        <w:t>Barrett, 2015</w:t>
      </w:r>
      <w:r w:rsidR="002A01B8" w:rsidRPr="007821BF">
        <w:t>).</w:t>
      </w:r>
    </w:p>
    <w:p w14:paraId="00D322E4" w14:textId="1F49BC48" w:rsidR="00FE439C" w:rsidRPr="007821BF" w:rsidRDefault="002A01B8" w:rsidP="007821BF">
      <w:pPr>
        <w:spacing w:after="0" w:line="288" w:lineRule="auto"/>
        <w:jc w:val="both"/>
      </w:pPr>
      <w:r w:rsidRPr="007821BF">
        <w:t>For others</w:t>
      </w:r>
      <w:r w:rsidR="00FE439C" w:rsidRPr="007821BF">
        <w:t xml:space="preserve"> though</w:t>
      </w:r>
      <w:r w:rsidRPr="007821BF">
        <w:t xml:space="preserve">, lack of </w:t>
      </w:r>
      <w:r w:rsidR="00D53279">
        <w:t>contact with</w:t>
      </w:r>
      <w:r w:rsidRPr="007821BF">
        <w:t xml:space="preserve"> the community</w:t>
      </w:r>
      <w:r w:rsidR="000D3F79">
        <w:t>,</w:t>
      </w:r>
      <w:r w:rsidR="00A10020">
        <w:t xml:space="preserve"> </w:t>
      </w:r>
      <w:r w:rsidRPr="007821BF">
        <w:t>as a source of guidance and role models</w:t>
      </w:r>
      <w:r w:rsidR="000D3F79">
        <w:t>,</w:t>
      </w:r>
      <w:r w:rsidR="00A10020">
        <w:t xml:space="preserve"> </w:t>
      </w:r>
      <w:r w:rsidR="00D53279">
        <w:t xml:space="preserve">may </w:t>
      </w:r>
      <w:r w:rsidR="000978EE">
        <w:t>deprive them of the support they require to respond</w:t>
      </w:r>
      <w:r w:rsidR="00A10020">
        <w:t xml:space="preserve"> to</w:t>
      </w:r>
      <w:r w:rsidR="00752013" w:rsidRPr="007821BF">
        <w:t xml:space="preserve"> violence </w:t>
      </w:r>
      <w:r w:rsidR="00A10020">
        <w:t>(</w:t>
      </w:r>
      <w:r w:rsidR="00A4596D">
        <w:t>Donovan, 2006</w:t>
      </w:r>
      <w:r w:rsidR="00752013" w:rsidRPr="007821BF">
        <w:t xml:space="preserve"> – citing Ristock, 2002).</w:t>
      </w:r>
    </w:p>
    <w:p w14:paraId="2ECBDFF3" w14:textId="459D3A72" w:rsidR="00C52222" w:rsidRPr="00555046" w:rsidRDefault="00C52222" w:rsidP="00F72B3F">
      <w:pPr>
        <w:spacing w:before="60" w:after="40" w:line="240" w:lineRule="auto"/>
        <w:jc w:val="both"/>
        <w:rPr>
          <w:i/>
          <w:iCs/>
        </w:rPr>
      </w:pPr>
      <w:r w:rsidRPr="00555046">
        <w:rPr>
          <w:i/>
          <w:iCs/>
        </w:rPr>
        <w:t>Relationship concerns</w:t>
      </w:r>
    </w:p>
    <w:p w14:paraId="24A38598" w14:textId="26FB8FB4" w:rsidR="008C06E1" w:rsidRPr="007821BF" w:rsidRDefault="00D53279" w:rsidP="007821BF">
      <w:pPr>
        <w:spacing w:after="0" w:line="288" w:lineRule="auto"/>
        <w:jc w:val="both"/>
      </w:pPr>
      <w:r>
        <w:t>It is also reported that some LGBTI individuals</w:t>
      </w:r>
      <w:r w:rsidR="00A10020">
        <w:t xml:space="preserve"> may feel constrained from seeking support by c</w:t>
      </w:r>
      <w:r w:rsidR="00752013" w:rsidRPr="007821BF">
        <w:t xml:space="preserve">oncerns about </w:t>
      </w:r>
      <w:r w:rsidR="00A10020">
        <w:t>their relationship, including</w:t>
      </w:r>
      <w:r w:rsidR="00752013" w:rsidRPr="007821BF">
        <w:t xml:space="preserve"> a perceived obligation to care </w:t>
      </w:r>
      <w:r w:rsidR="00F60D95">
        <w:t>for</w:t>
      </w:r>
      <w:r w:rsidR="00752013" w:rsidRPr="007821BF">
        <w:t xml:space="preserve"> a partner (</w:t>
      </w:r>
      <w:r w:rsidR="00A4596D">
        <w:t>Donovan, 2006</w:t>
      </w:r>
      <w:r w:rsidR="00752013" w:rsidRPr="007821BF">
        <w:t xml:space="preserve">); sympathy for </w:t>
      </w:r>
      <w:r w:rsidR="000D3F79">
        <w:t>their</w:t>
      </w:r>
      <w:r w:rsidR="00752013" w:rsidRPr="007821BF">
        <w:t xml:space="preserve"> partner</w:t>
      </w:r>
      <w:r w:rsidR="000D3F79">
        <w:t>’s</w:t>
      </w:r>
      <w:r w:rsidR="00752013" w:rsidRPr="007821BF">
        <w:t xml:space="preserve"> </w:t>
      </w:r>
      <w:r w:rsidR="00A10020">
        <w:t>personal</w:t>
      </w:r>
      <w:r w:rsidR="008C06E1" w:rsidRPr="007821BF">
        <w:t xml:space="preserve"> </w:t>
      </w:r>
      <w:r w:rsidR="00752013" w:rsidRPr="007821BF">
        <w:t xml:space="preserve">experience of </w:t>
      </w:r>
      <w:r w:rsidR="008C06E1" w:rsidRPr="007821BF">
        <w:t xml:space="preserve">homophobic </w:t>
      </w:r>
      <w:r w:rsidR="00752013" w:rsidRPr="007821BF">
        <w:t xml:space="preserve">exclusion and </w:t>
      </w:r>
      <w:r w:rsidR="006751DD" w:rsidRPr="007821BF">
        <w:t>discrimination</w:t>
      </w:r>
      <w:r w:rsidR="00752013" w:rsidRPr="007821BF">
        <w:t xml:space="preserve"> (</w:t>
      </w:r>
      <w:r w:rsidR="00770866">
        <w:t>Leith et al, 2020</w:t>
      </w:r>
      <w:r w:rsidR="00752013" w:rsidRPr="007821BF">
        <w:t xml:space="preserve">); </w:t>
      </w:r>
      <w:r w:rsidR="00A524EC">
        <w:t>fear of loneliness (</w:t>
      </w:r>
      <w:r w:rsidR="00733FE7">
        <w:t>Jeffries and Ball, 2008</w:t>
      </w:r>
      <w:r w:rsidR="00A524EC">
        <w:t xml:space="preserve">); </w:t>
      </w:r>
      <w:r w:rsidR="008C06E1" w:rsidRPr="007821BF">
        <w:t>or</w:t>
      </w:r>
      <w:r w:rsidR="00752013" w:rsidRPr="007821BF">
        <w:t xml:space="preserve"> the value of the relationship to themselves as a “confirmation of their identity and </w:t>
      </w:r>
      <w:r w:rsidR="006751DD" w:rsidRPr="007821BF">
        <w:t>sense</w:t>
      </w:r>
      <w:r w:rsidR="00752013" w:rsidRPr="007821BF">
        <w:t xml:space="preserve"> of self” (</w:t>
      </w:r>
      <w:r w:rsidR="00A4596D">
        <w:t>Donovan, 2006</w:t>
      </w:r>
      <w:r w:rsidR="00752013" w:rsidRPr="007821BF">
        <w:t>).</w:t>
      </w:r>
    </w:p>
    <w:p w14:paraId="6A7B17D9" w14:textId="5412CFA7" w:rsidR="00C52222" w:rsidRPr="00555046" w:rsidRDefault="00C52222" w:rsidP="00F72B3F">
      <w:pPr>
        <w:spacing w:before="60" w:after="40" w:line="240" w:lineRule="auto"/>
        <w:jc w:val="both"/>
        <w:rPr>
          <w:i/>
          <w:iCs/>
        </w:rPr>
      </w:pPr>
      <w:r w:rsidRPr="00555046">
        <w:rPr>
          <w:i/>
          <w:iCs/>
        </w:rPr>
        <w:t>Service response</w:t>
      </w:r>
    </w:p>
    <w:p w14:paraId="70D51B91" w14:textId="76B1C653" w:rsidR="004A2A43" w:rsidRPr="007821BF" w:rsidRDefault="00A10020" w:rsidP="007821BF">
      <w:pPr>
        <w:spacing w:after="0" w:line="288" w:lineRule="auto"/>
        <w:jc w:val="both"/>
      </w:pPr>
      <w:r w:rsidRPr="007821BF">
        <w:t>The experience of homo-, bi- or transphobia among the wider community may deter many</w:t>
      </w:r>
      <w:r w:rsidR="00D53279">
        <w:t xml:space="preserve"> LGBTI individuals</w:t>
      </w:r>
      <w:r w:rsidRPr="007821BF">
        <w:t xml:space="preserve"> from seeking assistance to end violence within a relationship (</w:t>
      </w:r>
      <w:r w:rsidR="00770866">
        <w:t>Pitts et al, 2006</w:t>
      </w:r>
      <w:r w:rsidRPr="007821BF">
        <w:t xml:space="preserve">). </w:t>
      </w:r>
      <w:r>
        <w:t xml:space="preserve">Indeed, </w:t>
      </w:r>
      <w:r w:rsidR="000978EE">
        <w:t xml:space="preserve">in one investigation it emerged </w:t>
      </w:r>
      <w:r w:rsidR="004A2A43" w:rsidRPr="007821BF">
        <w:t xml:space="preserve">that the majority of a sample of </w:t>
      </w:r>
      <w:r w:rsidR="00D53279">
        <w:t>those</w:t>
      </w:r>
      <w:r w:rsidR="004A2A43" w:rsidRPr="007821BF">
        <w:t xml:space="preserve"> who experienced violence within relationships did not seek assistance from an external agency –</w:t>
      </w:r>
      <w:r w:rsidR="000D3F79">
        <w:t xml:space="preserve"> </w:t>
      </w:r>
      <w:r w:rsidR="006A600B">
        <w:t>echoing a</w:t>
      </w:r>
      <w:r w:rsidR="004A2A43" w:rsidRPr="007821BF">
        <w:t xml:space="preserve"> trend seen in responses to violence within heterosexual relationships</w:t>
      </w:r>
      <w:r w:rsidR="000978EE">
        <w:t xml:space="preserve"> (NZ Family Violence Clearinghouse, 2016)</w:t>
      </w:r>
      <w:r w:rsidR="004A2A43" w:rsidRPr="007821BF">
        <w:t>.</w:t>
      </w:r>
    </w:p>
    <w:p w14:paraId="6FB9DCE0" w14:textId="7AD09EA2" w:rsidR="00C52222" w:rsidRPr="007821BF" w:rsidRDefault="005820EA" w:rsidP="007821BF">
      <w:pPr>
        <w:spacing w:after="0" w:line="288" w:lineRule="auto"/>
        <w:jc w:val="both"/>
      </w:pPr>
      <w:r>
        <w:t xml:space="preserve">Perceived and actual </w:t>
      </w:r>
      <w:r w:rsidR="00DA2559">
        <w:t>deficiencies in service delivery,</w:t>
      </w:r>
      <w:r>
        <w:t xml:space="preserve"> including</w:t>
      </w:r>
      <w:r w:rsidR="004A2A43" w:rsidRPr="007821BF">
        <w:t xml:space="preserve"> </w:t>
      </w:r>
      <w:r w:rsidR="00B74DA8" w:rsidRPr="007821BF">
        <w:t xml:space="preserve">misunderstanding of the </w:t>
      </w:r>
      <w:r>
        <w:t>needs</w:t>
      </w:r>
      <w:r w:rsidR="00B74DA8" w:rsidRPr="007821BF">
        <w:t xml:space="preserve"> of LGBTI individuals</w:t>
      </w:r>
      <w:r w:rsidR="004A2A43" w:rsidRPr="007821BF">
        <w:t xml:space="preserve"> by </w:t>
      </w:r>
      <w:r>
        <w:t xml:space="preserve">some </w:t>
      </w:r>
      <w:r w:rsidR="004A2A43" w:rsidRPr="007821BF">
        <w:t>welfare professionals</w:t>
      </w:r>
      <w:r w:rsidR="00547C0B" w:rsidRPr="007821BF">
        <w:t>,</w:t>
      </w:r>
      <w:r w:rsidR="00C52222" w:rsidRPr="007821BF">
        <w:t xml:space="preserve"> </w:t>
      </w:r>
      <w:r w:rsidR="000D3F79">
        <w:t xml:space="preserve">reportedly </w:t>
      </w:r>
      <w:r w:rsidR="00D53279">
        <w:t>discourage</w:t>
      </w:r>
      <w:r w:rsidR="00AA470E">
        <w:t xml:space="preserve"> some</w:t>
      </w:r>
      <w:r w:rsidR="004A2A43" w:rsidRPr="007821BF">
        <w:t xml:space="preserve"> </w:t>
      </w:r>
      <w:r w:rsidR="000D3F79">
        <w:t xml:space="preserve">people </w:t>
      </w:r>
      <w:r w:rsidR="00C52222" w:rsidRPr="007821BF">
        <w:t xml:space="preserve">from seeking assistance </w:t>
      </w:r>
      <w:r w:rsidR="00547C0B" w:rsidRPr="007821BF">
        <w:t>(</w:t>
      </w:r>
      <w:r w:rsidR="00BF57B7">
        <w:t>Stuart, 2018</w:t>
      </w:r>
      <w:r w:rsidR="00547C0B" w:rsidRPr="007821BF">
        <w:t xml:space="preserve">; </w:t>
      </w:r>
      <w:r w:rsidR="00C1111F">
        <w:t>Centre for American Progress, 2011</w:t>
      </w:r>
      <w:r w:rsidR="005F72DC" w:rsidRPr="007821BF">
        <w:t xml:space="preserve">; </w:t>
      </w:r>
      <w:r w:rsidR="00C1111F">
        <w:t>Toesland, 2020</w:t>
      </w:r>
      <w:r w:rsidR="00547C0B" w:rsidRPr="007821BF">
        <w:t>)</w:t>
      </w:r>
      <w:r w:rsidR="0057769C" w:rsidRPr="007821BF">
        <w:t xml:space="preserve">. </w:t>
      </w:r>
      <w:r w:rsidR="000978EE">
        <w:t>Moreover, i</w:t>
      </w:r>
      <w:r w:rsidR="00F60D95">
        <w:t xml:space="preserve">t </w:t>
      </w:r>
      <w:r w:rsidR="00DA2559">
        <w:t>has been</w:t>
      </w:r>
      <w:r w:rsidR="00F60D95">
        <w:t xml:space="preserve"> </w:t>
      </w:r>
      <w:r w:rsidR="00D53279">
        <w:t>observed</w:t>
      </w:r>
      <w:r w:rsidR="00F60D95">
        <w:t xml:space="preserve"> that service providers may</w:t>
      </w:r>
      <w:r w:rsidR="00D84CE0">
        <w:t xml:space="preserve"> hold views</w:t>
      </w:r>
      <w:r w:rsidR="00F60D95">
        <w:t xml:space="preserve"> </w:t>
      </w:r>
      <w:r w:rsidR="00547C0B" w:rsidRPr="007821BF">
        <w:t xml:space="preserve">that heterosexual </w:t>
      </w:r>
      <w:r w:rsidR="006751DD" w:rsidRPr="007821BF">
        <w:t>relationships</w:t>
      </w:r>
      <w:r w:rsidR="00547C0B" w:rsidRPr="007821BF">
        <w:t xml:space="preserve"> </w:t>
      </w:r>
      <w:r w:rsidR="00F60D95">
        <w:t>are the only legitimate expression of</w:t>
      </w:r>
      <w:r w:rsidR="00547C0B" w:rsidRPr="007821BF">
        <w:t xml:space="preserve"> sexuality (</w:t>
      </w:r>
      <w:r w:rsidR="0035553B">
        <w:t>Our Watch, 2017</w:t>
      </w:r>
      <w:r w:rsidR="00547C0B" w:rsidRPr="007821BF">
        <w:t>)</w:t>
      </w:r>
      <w:r w:rsidR="0057769C" w:rsidRPr="007821BF">
        <w:t xml:space="preserve">; </w:t>
      </w:r>
      <w:r w:rsidR="00547C0B" w:rsidRPr="007821BF">
        <w:t xml:space="preserve">that violence among men is </w:t>
      </w:r>
      <w:r w:rsidR="00A10020">
        <w:t xml:space="preserve">either </w:t>
      </w:r>
      <w:r w:rsidR="00547C0B" w:rsidRPr="007821BF">
        <w:t xml:space="preserve">a natural </w:t>
      </w:r>
      <w:r w:rsidR="006751DD" w:rsidRPr="007821BF">
        <w:t>interaction</w:t>
      </w:r>
      <w:r w:rsidR="00547C0B" w:rsidRPr="007821BF">
        <w:t xml:space="preserve"> in some </w:t>
      </w:r>
      <w:r w:rsidR="006751DD" w:rsidRPr="007821BF">
        <w:t>relationships</w:t>
      </w:r>
      <w:r w:rsidR="005F72DC" w:rsidRPr="007821BF">
        <w:t>,</w:t>
      </w:r>
      <w:r w:rsidR="00547C0B" w:rsidRPr="007821BF">
        <w:t xml:space="preserve"> </w:t>
      </w:r>
      <w:r w:rsidR="006751DD" w:rsidRPr="007821BF">
        <w:t>harmless</w:t>
      </w:r>
      <w:r w:rsidR="00547C0B" w:rsidRPr="007821BF">
        <w:t xml:space="preserve"> or </w:t>
      </w:r>
      <w:r w:rsidR="006751DD" w:rsidRPr="007821BF">
        <w:t>mutual</w:t>
      </w:r>
      <w:r w:rsidR="00547C0B" w:rsidRPr="007821BF">
        <w:t xml:space="preserve"> (</w:t>
      </w:r>
      <w:r w:rsidR="00BF57B7">
        <w:t>Rolle et al, 2018</w:t>
      </w:r>
      <w:r w:rsidR="00547C0B" w:rsidRPr="007821BF">
        <w:t xml:space="preserve">; </w:t>
      </w:r>
      <w:r w:rsidR="00C1111F">
        <w:t>Barrett, 2015</w:t>
      </w:r>
      <w:r w:rsidR="00547C0B" w:rsidRPr="007821BF">
        <w:t>)</w:t>
      </w:r>
      <w:r w:rsidR="0057769C" w:rsidRPr="007821BF">
        <w:t>;</w:t>
      </w:r>
      <w:r w:rsidR="00547C0B" w:rsidRPr="007821BF">
        <w:t xml:space="preserve"> that men should be able to defend </w:t>
      </w:r>
      <w:r w:rsidR="006751DD" w:rsidRPr="007821BF">
        <w:t>themselves</w:t>
      </w:r>
      <w:r w:rsidR="000345AB">
        <w:t xml:space="preserve"> (Lettelier, 1994)</w:t>
      </w:r>
      <w:r w:rsidR="0057769C" w:rsidRPr="007821BF">
        <w:t>;</w:t>
      </w:r>
      <w:r w:rsidR="00547C0B" w:rsidRPr="007821BF">
        <w:t xml:space="preserve"> or </w:t>
      </w:r>
      <w:r w:rsidR="00B74DA8" w:rsidRPr="007821BF">
        <w:t>that</w:t>
      </w:r>
      <w:r w:rsidR="00547C0B" w:rsidRPr="007821BF">
        <w:t xml:space="preserve"> lesbian relationships do not incorporate power </w:t>
      </w:r>
      <w:r w:rsidR="006751DD" w:rsidRPr="007821BF">
        <w:t>imbalances</w:t>
      </w:r>
      <w:r w:rsidR="00547C0B" w:rsidRPr="007821BF">
        <w:t xml:space="preserve"> (</w:t>
      </w:r>
      <w:r w:rsidR="003810DB">
        <w:t>Our Watch, 2017</w:t>
      </w:r>
      <w:r w:rsidR="00547C0B" w:rsidRPr="007821BF">
        <w:t>)</w:t>
      </w:r>
      <w:r w:rsidR="005F72DC" w:rsidRPr="007821BF">
        <w:t xml:space="preserve">. </w:t>
      </w:r>
    </w:p>
    <w:p w14:paraId="0A011DC4" w14:textId="420FC0A8" w:rsidR="005F72DC" w:rsidRPr="007821BF" w:rsidRDefault="00DA2559" w:rsidP="007821BF">
      <w:pPr>
        <w:spacing w:after="0" w:line="288" w:lineRule="auto"/>
        <w:jc w:val="both"/>
      </w:pPr>
      <w:r>
        <w:t>Research findings</w:t>
      </w:r>
      <w:r w:rsidR="00B74DA8" w:rsidRPr="007821BF">
        <w:t xml:space="preserve"> </w:t>
      </w:r>
      <w:r w:rsidR="001E19AF">
        <w:t>substantiate concerns</w:t>
      </w:r>
      <w:r w:rsidR="00547C0B" w:rsidRPr="007821BF">
        <w:t xml:space="preserve"> </w:t>
      </w:r>
      <w:r w:rsidR="005F72DC" w:rsidRPr="007821BF">
        <w:t xml:space="preserve">among LGBTI people </w:t>
      </w:r>
      <w:r w:rsidR="00547C0B" w:rsidRPr="007821BF">
        <w:t xml:space="preserve">about the </w:t>
      </w:r>
      <w:r w:rsidR="00D53279">
        <w:t>availability</w:t>
      </w:r>
      <w:r w:rsidR="00547C0B" w:rsidRPr="007821BF">
        <w:t xml:space="preserve"> of safe and </w:t>
      </w:r>
      <w:r w:rsidR="006751DD" w:rsidRPr="007821BF">
        <w:t>supportive</w:t>
      </w:r>
      <w:r w:rsidR="00547C0B" w:rsidRPr="007821BF">
        <w:t xml:space="preserve"> assistance from service providers (</w:t>
      </w:r>
      <w:r w:rsidR="00BF57B7">
        <w:t>DVConnect, 2018</w:t>
      </w:r>
      <w:r w:rsidR="00547C0B" w:rsidRPr="007821BF">
        <w:t xml:space="preserve">; </w:t>
      </w:r>
      <w:r w:rsidR="008F4312">
        <w:t>Leonard, 2012</w:t>
      </w:r>
      <w:r w:rsidR="00547C0B" w:rsidRPr="007821BF">
        <w:t>).</w:t>
      </w:r>
      <w:r w:rsidR="00B74DA8" w:rsidRPr="007821BF">
        <w:t xml:space="preserve"> </w:t>
      </w:r>
      <w:r w:rsidR="00547C0B" w:rsidRPr="007821BF">
        <w:t xml:space="preserve">In </w:t>
      </w:r>
      <w:r w:rsidR="00B74DA8" w:rsidRPr="007821BF">
        <w:t>a</w:t>
      </w:r>
      <w:r w:rsidR="00547C0B" w:rsidRPr="007821BF">
        <w:t xml:space="preserve"> US </w:t>
      </w:r>
      <w:r w:rsidR="006751DD" w:rsidRPr="007821BF">
        <w:t>study</w:t>
      </w:r>
      <w:r w:rsidR="00547C0B" w:rsidRPr="007821BF">
        <w:t xml:space="preserve"> of welfare and family violence workers, 96% </w:t>
      </w:r>
      <w:r w:rsidR="006751DD" w:rsidRPr="007821BF">
        <w:t>expressed</w:t>
      </w:r>
      <w:r w:rsidR="00547C0B" w:rsidRPr="007821BF">
        <w:t xml:space="preserve"> the view that they provided ‘welcoming and non-</w:t>
      </w:r>
      <w:r w:rsidR="006751DD" w:rsidRPr="007821BF">
        <w:t>discriminatory</w:t>
      </w:r>
      <w:r w:rsidR="00547C0B" w:rsidRPr="007821BF">
        <w:t xml:space="preserve">’ assistance, though most of their </w:t>
      </w:r>
      <w:r w:rsidR="004A2A43" w:rsidRPr="007821BF">
        <w:t>LGBTI</w:t>
      </w:r>
      <w:r w:rsidR="00547C0B" w:rsidRPr="007821BF">
        <w:t xml:space="preserve"> clients </w:t>
      </w:r>
      <w:r w:rsidR="00A10020">
        <w:t>stated</w:t>
      </w:r>
      <w:r w:rsidR="00547C0B" w:rsidRPr="007821BF">
        <w:t xml:space="preserve"> that they </w:t>
      </w:r>
      <w:r w:rsidR="00547C0B" w:rsidRPr="00A10020">
        <w:rPr>
          <w:i/>
          <w:iCs/>
        </w:rPr>
        <w:t>did not</w:t>
      </w:r>
      <w:r w:rsidR="00547C0B" w:rsidRPr="007821BF">
        <w:t xml:space="preserve"> address their needs or concerns</w:t>
      </w:r>
      <w:r w:rsidR="004757D7" w:rsidRPr="007821BF">
        <w:t xml:space="preserve"> (</w:t>
      </w:r>
      <w:r w:rsidR="00BF57B7">
        <w:t>Rolle et al, 2018</w:t>
      </w:r>
      <w:r w:rsidR="004757D7" w:rsidRPr="007821BF">
        <w:t xml:space="preserve">). </w:t>
      </w:r>
      <w:r w:rsidR="005820EA">
        <w:t xml:space="preserve">Moreover, </w:t>
      </w:r>
      <w:r>
        <w:t>an inquiry</w:t>
      </w:r>
      <w:r w:rsidR="00B74DA8" w:rsidRPr="007821BF">
        <w:t xml:space="preserve"> conducted</w:t>
      </w:r>
      <w:r w:rsidR="004757D7" w:rsidRPr="007821BF">
        <w:t xml:space="preserve"> by the AIDS </w:t>
      </w:r>
      <w:r w:rsidR="006751DD" w:rsidRPr="007821BF">
        <w:t>Council</w:t>
      </w:r>
      <w:r w:rsidR="004757D7" w:rsidRPr="007821BF">
        <w:t xml:space="preserve"> of NSW found that only one-</w:t>
      </w:r>
      <w:r w:rsidR="006751DD" w:rsidRPr="007821BF">
        <w:t>fifth</w:t>
      </w:r>
      <w:r w:rsidR="004757D7" w:rsidRPr="007821BF">
        <w:t xml:space="preserve"> of the staff members interviewed</w:t>
      </w:r>
      <w:r w:rsidR="001E19AF">
        <w:t>,</w:t>
      </w:r>
      <w:r w:rsidR="004757D7" w:rsidRPr="007821BF">
        <w:t xml:space="preserve"> from 65 family violence services</w:t>
      </w:r>
      <w:r w:rsidR="001E19AF">
        <w:t>,</w:t>
      </w:r>
      <w:r w:rsidR="004757D7" w:rsidRPr="007821BF">
        <w:t xml:space="preserve"> perceived themselves as “fully competent” to support </w:t>
      </w:r>
      <w:r w:rsidR="00881CA2">
        <w:t xml:space="preserve">people from </w:t>
      </w:r>
      <w:r w:rsidR="004757D7" w:rsidRPr="007821BF">
        <w:t xml:space="preserve">LGBTI </w:t>
      </w:r>
      <w:r w:rsidR="00881CA2">
        <w:t>communities</w:t>
      </w:r>
      <w:r w:rsidR="004757D7" w:rsidRPr="007821BF">
        <w:t xml:space="preserve"> (</w:t>
      </w:r>
      <w:r w:rsidR="003810DB">
        <w:t xml:space="preserve">Campo and </w:t>
      </w:r>
      <w:proofErr w:type="spellStart"/>
      <w:r w:rsidR="003810DB">
        <w:t>Tayton</w:t>
      </w:r>
      <w:proofErr w:type="spellEnd"/>
      <w:r w:rsidR="003810DB">
        <w:t>, 2015</w:t>
      </w:r>
      <w:r w:rsidR="004757D7" w:rsidRPr="007821BF">
        <w:t>).</w:t>
      </w:r>
      <w:r w:rsidR="00401138">
        <w:t xml:space="preserve"> </w:t>
      </w:r>
    </w:p>
    <w:p w14:paraId="6644D5E9" w14:textId="5E2B2CD9" w:rsidR="008D65E3" w:rsidRDefault="00572B97" w:rsidP="008D65E3">
      <w:pPr>
        <w:spacing w:after="0" w:line="288" w:lineRule="auto"/>
        <w:jc w:val="both"/>
      </w:pPr>
      <w:r>
        <w:t>It is reported that l</w:t>
      </w:r>
      <w:r w:rsidR="00DA2559">
        <w:t>imitations</w:t>
      </w:r>
      <w:r w:rsidR="00F81352">
        <w:t xml:space="preserve"> in</w:t>
      </w:r>
      <w:r w:rsidR="000643FF" w:rsidRPr="007821BF">
        <w:t xml:space="preserve"> the availability of suitable, sensitive and safe services</w:t>
      </w:r>
      <w:r w:rsidR="004757D7" w:rsidRPr="007821BF">
        <w:t xml:space="preserve"> may be </w:t>
      </w:r>
      <w:r w:rsidR="007D2980">
        <w:t>more acute still,</w:t>
      </w:r>
      <w:r w:rsidR="004757D7" w:rsidRPr="007821BF">
        <w:t xml:space="preserve"> </w:t>
      </w:r>
      <w:r w:rsidR="001E19AF">
        <w:t>for</w:t>
      </w:r>
      <w:r w:rsidR="004757D7" w:rsidRPr="007821BF">
        <w:t xml:space="preserve"> people of a culturally diverse background</w:t>
      </w:r>
      <w:r w:rsidR="000643FF" w:rsidRPr="007821BF">
        <w:t xml:space="preserve">s, </w:t>
      </w:r>
      <w:r w:rsidR="004757D7" w:rsidRPr="007821BF">
        <w:t>Aboriginal and Torres Strait Islander heritage and residents of smaller</w:t>
      </w:r>
      <w:r w:rsidR="004A2A43" w:rsidRPr="007821BF">
        <w:t xml:space="preserve">, </w:t>
      </w:r>
      <w:r w:rsidR="006751DD" w:rsidRPr="007821BF">
        <w:t>closer</w:t>
      </w:r>
      <w:r w:rsidR="004757D7" w:rsidRPr="007821BF">
        <w:t xml:space="preserve">-knit </w:t>
      </w:r>
      <w:r w:rsidR="000643FF" w:rsidRPr="007821BF">
        <w:t xml:space="preserve">rural </w:t>
      </w:r>
      <w:r w:rsidR="004757D7" w:rsidRPr="007821BF">
        <w:t>communities (</w:t>
      </w:r>
      <w:r w:rsidR="00D973C4">
        <w:t>National LGBT Health Alliance, 2009</w:t>
      </w:r>
      <w:r w:rsidR="004757D7" w:rsidRPr="007821BF">
        <w:t xml:space="preserve">; </w:t>
      </w:r>
      <w:r w:rsidR="008F4312" w:rsidRPr="00DE1FB2">
        <w:rPr>
          <w:color w:val="000000" w:themeColor="text1"/>
        </w:rPr>
        <w:t>Family and Community Services</w:t>
      </w:r>
      <w:r w:rsidR="008F4312">
        <w:rPr>
          <w:color w:val="000000" w:themeColor="text1"/>
        </w:rPr>
        <w:t xml:space="preserve">, </w:t>
      </w:r>
      <w:r w:rsidR="008F4312" w:rsidRPr="00DE1FB2">
        <w:rPr>
          <w:color w:val="000000" w:themeColor="text1"/>
        </w:rPr>
        <w:t>undated</w:t>
      </w:r>
      <w:r w:rsidR="004757D7" w:rsidRPr="007821BF">
        <w:t>).</w:t>
      </w:r>
      <w:r w:rsidR="008D65E3">
        <w:t xml:space="preserve"> </w:t>
      </w:r>
    </w:p>
    <w:p w14:paraId="503607BB" w14:textId="20E65ABB" w:rsidR="005E4A51" w:rsidRDefault="000978EE" w:rsidP="005E4A51">
      <w:pPr>
        <w:spacing w:after="0" w:line="288" w:lineRule="auto"/>
        <w:jc w:val="both"/>
      </w:pPr>
      <w:r>
        <w:t>M</w:t>
      </w:r>
      <w:r w:rsidR="005E4A51">
        <w:t xml:space="preserve">any people who experience violence or abuse within a relationship may be uncertain as to where to find assistance, in any case. </w:t>
      </w:r>
      <w:r w:rsidR="005E4A51" w:rsidRPr="005E4A51">
        <w:t xml:space="preserve">Among LGBTI respondents to the 2017 Victorian Population Health Survey, 23% stated </w:t>
      </w:r>
      <w:r w:rsidR="005E4A51" w:rsidRPr="005E4A51">
        <w:lastRenderedPageBreak/>
        <w:t>that they did not know where to go to obtain support in relation to family violence (Victorian Agency for Health Information, 2020).</w:t>
      </w:r>
    </w:p>
    <w:p w14:paraId="777D5336" w14:textId="592BE1C1" w:rsidR="00721594" w:rsidRPr="005E4A51" w:rsidRDefault="00721594" w:rsidP="005E4A51">
      <w:pPr>
        <w:spacing w:after="0" w:line="288" w:lineRule="auto"/>
        <w:jc w:val="both"/>
      </w:pPr>
      <w:r>
        <w:t>At the same time, Smith et al (2014) remarks that: “… concealment can disconnect individuals from reaching out to support and community services that otherwise may have been a source of resilience.”</w:t>
      </w:r>
    </w:p>
    <w:p w14:paraId="3C15C69B" w14:textId="25C11904" w:rsidR="005F72DC" w:rsidRPr="00555046" w:rsidRDefault="005F72DC" w:rsidP="00F72B3F">
      <w:pPr>
        <w:spacing w:before="60" w:after="40" w:line="240" w:lineRule="auto"/>
        <w:jc w:val="both"/>
        <w:rPr>
          <w:i/>
          <w:iCs/>
        </w:rPr>
      </w:pPr>
      <w:r>
        <w:rPr>
          <w:i/>
          <w:iCs/>
        </w:rPr>
        <w:t>Police</w:t>
      </w:r>
      <w:r w:rsidRPr="00555046">
        <w:rPr>
          <w:i/>
          <w:iCs/>
        </w:rPr>
        <w:t xml:space="preserve"> response</w:t>
      </w:r>
    </w:p>
    <w:p w14:paraId="75A6045B" w14:textId="2CAECA67" w:rsidR="00F60D95" w:rsidRDefault="004757D7" w:rsidP="007821BF">
      <w:pPr>
        <w:spacing w:after="0" w:line="288" w:lineRule="auto"/>
        <w:jc w:val="both"/>
      </w:pPr>
      <w:r w:rsidRPr="007821BF">
        <w:t xml:space="preserve">Among police, lack of </w:t>
      </w:r>
      <w:r w:rsidR="006751DD" w:rsidRPr="007821BF">
        <w:t>understanding</w:t>
      </w:r>
      <w:r w:rsidRPr="007821BF">
        <w:t>, limited awareness</w:t>
      </w:r>
      <w:r w:rsidR="003F19B9" w:rsidRPr="007821BF">
        <w:t>,</w:t>
      </w:r>
      <w:r w:rsidRPr="007821BF">
        <w:t xml:space="preserve"> discrimination and homo</w:t>
      </w:r>
      <w:r w:rsidR="007D2980">
        <w:t>-, bi- or trans-</w:t>
      </w:r>
      <w:r w:rsidRPr="007821BF">
        <w:t>phobia</w:t>
      </w:r>
      <w:r w:rsidR="00572B97">
        <w:t>,</w:t>
      </w:r>
      <w:r w:rsidRPr="007821BF">
        <w:t xml:space="preserve"> </w:t>
      </w:r>
      <w:r w:rsidR="006751DD" w:rsidRPr="007821BF">
        <w:t>may</w:t>
      </w:r>
      <w:r w:rsidRPr="007821BF">
        <w:t xml:space="preserve"> </w:t>
      </w:r>
      <w:r w:rsidR="000345AB">
        <w:t>restrain</w:t>
      </w:r>
      <w:r w:rsidRPr="007821BF">
        <w:t xml:space="preserve"> many </w:t>
      </w:r>
      <w:r w:rsidR="00572B97">
        <w:t xml:space="preserve">people from LGBTI communities </w:t>
      </w:r>
      <w:r w:rsidRPr="007821BF">
        <w:t>from seeking assistance (</w:t>
      </w:r>
      <w:r w:rsidR="00D973C4">
        <w:t>Witoslawski, 2020</w:t>
      </w:r>
      <w:r w:rsidRPr="007821BF">
        <w:t xml:space="preserve">; </w:t>
      </w:r>
      <w:r w:rsidR="003810DB">
        <w:t>Campo and Tayton, 2015</w:t>
      </w:r>
      <w:r w:rsidR="00285838">
        <w:t xml:space="preserve">; </w:t>
      </w:r>
      <w:r w:rsidR="00770866">
        <w:t>Lyons, 2018</w:t>
      </w:r>
      <w:r w:rsidRPr="007821BF">
        <w:t xml:space="preserve">). </w:t>
      </w:r>
      <w:r w:rsidR="003F19B9" w:rsidRPr="007821BF">
        <w:t xml:space="preserve">Such circumstances may </w:t>
      </w:r>
      <w:r w:rsidR="004A2A43" w:rsidRPr="007821BF">
        <w:t>have improved over time</w:t>
      </w:r>
      <w:r w:rsidR="003F19B9" w:rsidRPr="007821BF">
        <w:t xml:space="preserve">, with </w:t>
      </w:r>
      <w:r w:rsidR="00770866">
        <w:t>Pitts et al</w:t>
      </w:r>
      <w:r w:rsidR="008F4312">
        <w:t xml:space="preserve"> (</w:t>
      </w:r>
      <w:r w:rsidR="00770866">
        <w:t>2006</w:t>
      </w:r>
      <w:r w:rsidR="008F4312">
        <w:t>)</w:t>
      </w:r>
      <w:r w:rsidRPr="007821BF">
        <w:t xml:space="preserve"> observ</w:t>
      </w:r>
      <w:r w:rsidR="003F19B9" w:rsidRPr="007821BF">
        <w:t>ing</w:t>
      </w:r>
      <w:r w:rsidRPr="007821BF">
        <w:t xml:space="preserve"> that</w:t>
      </w:r>
      <w:r w:rsidR="005820EA">
        <w:t xml:space="preserve"> half</w:t>
      </w:r>
      <w:r w:rsidR="00F60D95">
        <w:t xml:space="preserve"> of a group of LGBTI individuals who sought the protection of the police</w:t>
      </w:r>
      <w:r w:rsidR="00F60D95" w:rsidRPr="007821BF">
        <w:t xml:space="preserve"> expressed themselves content with the response</w:t>
      </w:r>
      <w:r w:rsidR="00F60D95">
        <w:t xml:space="preserve"> – though only a small proportion of those surveyed </w:t>
      </w:r>
      <w:r w:rsidR="00881CA2">
        <w:t xml:space="preserve">had </w:t>
      </w:r>
      <w:r w:rsidR="00F60D95">
        <w:t>reported their experience of intimate partner violence to the police.</w:t>
      </w:r>
    </w:p>
    <w:p w14:paraId="5E7DB609" w14:textId="77777777" w:rsidR="001E19AF" w:rsidRDefault="001E19AF" w:rsidP="00533B5B">
      <w:pPr>
        <w:spacing w:after="60" w:line="240" w:lineRule="auto"/>
        <w:jc w:val="both"/>
        <w:rPr>
          <w:b/>
          <w:bCs/>
          <w:color w:val="1F3864" w:themeColor="accent1" w:themeShade="80"/>
          <w:lang w:val="en-AU"/>
        </w:rPr>
      </w:pPr>
    </w:p>
    <w:p w14:paraId="68E48069" w14:textId="396478DE" w:rsidR="004757D7" w:rsidRPr="00EC5C21" w:rsidRDefault="000D0C80" w:rsidP="00533B5B">
      <w:pPr>
        <w:spacing w:after="60" w:line="240" w:lineRule="auto"/>
        <w:jc w:val="both"/>
        <w:rPr>
          <w:b/>
          <w:bCs/>
          <w:color w:val="1F3864" w:themeColor="accent1" w:themeShade="80"/>
          <w:lang w:val="en-AU"/>
        </w:rPr>
      </w:pPr>
      <w:r w:rsidRPr="00EC5C21">
        <w:rPr>
          <w:b/>
          <w:bCs/>
          <w:color w:val="1F3864" w:themeColor="accent1" w:themeShade="80"/>
          <w:lang w:val="en-AU"/>
        </w:rPr>
        <w:t>Prevention and Support in Relation to Intimate Partner Violence</w:t>
      </w:r>
    </w:p>
    <w:p w14:paraId="108B6D3C" w14:textId="4897AD21" w:rsidR="004757D7" w:rsidRDefault="006978B0" w:rsidP="007821BF">
      <w:pPr>
        <w:spacing w:after="0" w:line="288" w:lineRule="auto"/>
        <w:jc w:val="both"/>
      </w:pPr>
      <w:r w:rsidRPr="007821BF">
        <w:t xml:space="preserve">Proposed and existing </w:t>
      </w:r>
      <w:r w:rsidR="00EA08F5" w:rsidRPr="007821BF">
        <w:t>measures</w:t>
      </w:r>
      <w:r w:rsidRPr="007821BF">
        <w:t xml:space="preserve"> to address violence within LGBTI </w:t>
      </w:r>
      <w:r w:rsidR="006751DD" w:rsidRPr="007821BF">
        <w:t>relationships</w:t>
      </w:r>
      <w:r w:rsidRPr="007821BF">
        <w:t xml:space="preserve">, extend to </w:t>
      </w:r>
      <w:r w:rsidR="006751DD" w:rsidRPr="007821BF">
        <w:t>education</w:t>
      </w:r>
      <w:r w:rsidRPr="007821BF">
        <w:t xml:space="preserve"> and modelling of </w:t>
      </w:r>
      <w:r w:rsidR="006751DD" w:rsidRPr="007821BF">
        <w:t>respectful</w:t>
      </w:r>
      <w:r w:rsidRPr="007821BF">
        <w:t xml:space="preserve"> </w:t>
      </w:r>
      <w:r w:rsidR="009A1E7D" w:rsidRPr="007821BF">
        <w:t>behavior</w:t>
      </w:r>
      <w:r w:rsidRPr="007821BF">
        <w:t xml:space="preserve"> at schools; </w:t>
      </w:r>
      <w:r w:rsidR="00EA08F5" w:rsidRPr="007821BF">
        <w:t>youth</w:t>
      </w:r>
      <w:r w:rsidRPr="007821BF">
        <w:t xml:space="preserve"> programs </w:t>
      </w:r>
      <w:r w:rsidR="00EA08F5" w:rsidRPr="007821BF">
        <w:t>featuring</w:t>
      </w:r>
      <w:r w:rsidRPr="007821BF">
        <w:t xml:space="preserve"> social </w:t>
      </w:r>
      <w:r w:rsidR="00EA08F5" w:rsidRPr="007821BF">
        <w:t>activities</w:t>
      </w:r>
      <w:r w:rsidR="0028530D" w:rsidRPr="007821BF">
        <w:t xml:space="preserve">, personal support and </w:t>
      </w:r>
      <w:r w:rsidR="007D2980">
        <w:t xml:space="preserve">opportunities for social </w:t>
      </w:r>
      <w:r w:rsidR="0028530D" w:rsidRPr="007821BF">
        <w:t xml:space="preserve">activism; informing and supporting their families of origin; </w:t>
      </w:r>
      <w:r w:rsidR="006751DD" w:rsidRPr="007821BF">
        <w:t>provision</w:t>
      </w:r>
      <w:r w:rsidR="0028530D" w:rsidRPr="007821BF">
        <w:t xml:space="preserve"> of information and services to </w:t>
      </w:r>
      <w:r w:rsidR="00981D6E">
        <w:t>LGBTI communities</w:t>
      </w:r>
      <w:r w:rsidR="0028530D" w:rsidRPr="007821BF">
        <w:t xml:space="preserve">; and </w:t>
      </w:r>
      <w:r w:rsidR="006751DD" w:rsidRPr="007821BF">
        <w:t>efforts</w:t>
      </w:r>
      <w:r w:rsidR="0028530D" w:rsidRPr="007821BF">
        <w:t xml:space="preserve"> to effect broader social changes to address the foundations of </w:t>
      </w:r>
      <w:r w:rsidR="006751DD" w:rsidRPr="007821BF">
        <w:t>discrimination</w:t>
      </w:r>
      <w:r w:rsidR="0028530D" w:rsidRPr="007821BF">
        <w:t>.</w:t>
      </w:r>
    </w:p>
    <w:p w14:paraId="79F35260" w14:textId="7C2F8D76" w:rsidR="006751DD" w:rsidRPr="006751DD" w:rsidRDefault="007821BF" w:rsidP="000F756B">
      <w:pPr>
        <w:spacing w:before="60" w:after="40" w:line="240" w:lineRule="auto"/>
        <w:jc w:val="both"/>
        <w:rPr>
          <w:i/>
          <w:iCs/>
        </w:rPr>
      </w:pPr>
      <w:r>
        <w:rPr>
          <w:i/>
          <w:iCs/>
        </w:rPr>
        <w:t>Supporting and engaging young people</w:t>
      </w:r>
    </w:p>
    <w:p w14:paraId="14E401AE" w14:textId="50915D11" w:rsidR="005575CE" w:rsidRDefault="00F654BA" w:rsidP="00F654BA">
      <w:pPr>
        <w:spacing w:after="0" w:line="288" w:lineRule="auto"/>
        <w:jc w:val="both"/>
      </w:pPr>
      <w:r>
        <w:t>Peer-led and other programs for young people are commended as a way to foster confident identity and healthy sexuality among LGBTI young people (</w:t>
      </w:r>
      <w:r w:rsidR="00D973C4">
        <w:t>Loft, 2016</w:t>
      </w:r>
      <w:r>
        <w:t xml:space="preserve">; </w:t>
      </w:r>
      <w:r w:rsidR="002356AE">
        <w:t>Brown, 2017A</w:t>
      </w:r>
      <w:r>
        <w:t>).</w:t>
      </w:r>
      <w:r w:rsidR="00881CA2">
        <w:t xml:space="preserve"> S</w:t>
      </w:r>
      <w:r w:rsidR="00770866">
        <w:t>mith et al</w:t>
      </w:r>
      <w:r w:rsidR="005820EA">
        <w:t xml:space="preserve"> (</w:t>
      </w:r>
      <w:r w:rsidR="00770866">
        <w:t>2014</w:t>
      </w:r>
      <w:r w:rsidR="005820EA">
        <w:t>)</w:t>
      </w:r>
      <w:r w:rsidR="004A53B9">
        <w:t xml:space="preserve"> report on the findings of </w:t>
      </w:r>
      <w:r w:rsidR="005820EA">
        <w:t xml:space="preserve">an </w:t>
      </w:r>
      <w:r w:rsidR="004A53B9">
        <w:t xml:space="preserve">on-line </w:t>
      </w:r>
      <w:r w:rsidR="005820EA">
        <w:t>survey</w:t>
      </w:r>
      <w:r w:rsidR="004A53B9">
        <w:t xml:space="preserve"> and focus groups featuring 189 14</w:t>
      </w:r>
      <w:r w:rsidR="00881CA2">
        <w:t>-</w:t>
      </w:r>
      <w:r w:rsidR="004A53B9">
        <w:t>25 year-old gender</w:t>
      </w:r>
      <w:r w:rsidR="00EA08F5">
        <w:t>-</w:t>
      </w:r>
      <w:r w:rsidR="004A53B9">
        <w:t>diverse and transgender Australians</w:t>
      </w:r>
      <w:r w:rsidR="00554A16">
        <w:t>, which</w:t>
      </w:r>
      <w:r w:rsidR="004A53B9">
        <w:t xml:space="preserve"> found that the opportunity to meet with friends and peers, coupled with family support, </w:t>
      </w:r>
      <w:r w:rsidR="00881CA2">
        <w:t xml:space="preserve">markedly </w:t>
      </w:r>
      <w:r w:rsidR="004A53B9">
        <w:t>enhanced their confidence and self-esteem</w:t>
      </w:r>
      <w:r w:rsidR="00554A16">
        <w:t xml:space="preserve">. </w:t>
      </w:r>
      <w:r w:rsidR="00572B97">
        <w:t xml:space="preserve">One trans young person remarked: “I also really appreciate having community – I’m in a trans youth group which has been enormously helpful for me to have somewhere to be myself and talk to other people who know how I’m feeling and are going through similar things to myself.” </w:t>
      </w:r>
    </w:p>
    <w:p w14:paraId="56828B30" w14:textId="0A211BE6" w:rsidR="00F654BA" w:rsidRDefault="00554A16" w:rsidP="00F654BA">
      <w:pPr>
        <w:spacing w:after="0" w:line="288" w:lineRule="auto"/>
        <w:jc w:val="both"/>
      </w:pPr>
      <w:r>
        <w:t>It is also reported that p</w:t>
      </w:r>
      <w:r w:rsidR="00F654BA">
        <w:t>articipation</w:t>
      </w:r>
      <w:r w:rsidR="0097359D">
        <w:t xml:space="preserve"> in activism and advocacy for reform </w:t>
      </w:r>
      <w:r>
        <w:t xml:space="preserve">may help </w:t>
      </w:r>
      <w:r w:rsidR="00F654BA">
        <w:t>to</w:t>
      </w:r>
      <w:r w:rsidR="00C3664A">
        <w:t xml:space="preserve"> foster a sense of belonging and empowerment</w:t>
      </w:r>
      <w:r w:rsidR="0097359D">
        <w:t xml:space="preserve"> for many young people in peer-led youth groups and programs (</w:t>
      </w:r>
      <w:r w:rsidR="0097359D" w:rsidRPr="0097359D">
        <w:t>National LGBTI Health Alliance, 2018).</w:t>
      </w:r>
      <w:r w:rsidR="00F654BA">
        <w:t xml:space="preserve"> </w:t>
      </w:r>
    </w:p>
    <w:p w14:paraId="540C1865" w14:textId="7E919455" w:rsidR="00572B97" w:rsidRPr="006751DD" w:rsidRDefault="00572B97" w:rsidP="001E19AF">
      <w:pPr>
        <w:spacing w:before="60" w:after="40" w:line="240" w:lineRule="auto"/>
        <w:jc w:val="both"/>
        <w:rPr>
          <w:i/>
          <w:iCs/>
        </w:rPr>
      </w:pPr>
      <w:r>
        <w:rPr>
          <w:i/>
          <w:iCs/>
        </w:rPr>
        <w:t>Support in rural communities</w:t>
      </w:r>
    </w:p>
    <w:p w14:paraId="356B6878" w14:textId="4216067C" w:rsidR="00F81352" w:rsidRDefault="00656B68" w:rsidP="00B358FC">
      <w:pPr>
        <w:spacing w:after="0" w:line="288" w:lineRule="auto"/>
        <w:jc w:val="both"/>
      </w:pPr>
      <w:r>
        <w:t>Lesser numbers of LGBTI people in rural areas, and their geographic dispersion,</w:t>
      </w:r>
      <w:r w:rsidR="00B358FC" w:rsidRPr="00FA4BA4">
        <w:t xml:space="preserve"> </w:t>
      </w:r>
      <w:r w:rsidR="005575CE">
        <w:t>may</w:t>
      </w:r>
      <w:r w:rsidR="00B358FC">
        <w:t xml:space="preserve"> foster isolation</w:t>
      </w:r>
      <w:r>
        <w:t>,</w:t>
      </w:r>
      <w:r w:rsidR="00B358FC">
        <w:t xml:space="preserve"> </w:t>
      </w:r>
      <w:r w:rsidR="00B358FC" w:rsidRPr="00FA4BA4">
        <w:t>afford fewer opportunities to participate in LGBT social activities</w:t>
      </w:r>
      <w:r>
        <w:t>,</w:t>
      </w:r>
      <w:r w:rsidR="00B358FC">
        <w:t xml:space="preserve"> and deprive many of anonymity – exposing them</w:t>
      </w:r>
      <w:r w:rsidR="00B358FC" w:rsidRPr="00FA4BA4">
        <w:t xml:space="preserve"> to discrimination, exclusion and abuse (Q-Life, undated</w:t>
      </w:r>
      <w:r w:rsidR="00B358FC">
        <w:t xml:space="preserve">; </w:t>
      </w:r>
      <w:r w:rsidR="00B358FC" w:rsidRPr="00FA4BA4">
        <w:t>ReachOut, undated</w:t>
      </w:r>
      <w:r w:rsidR="00B358FC">
        <w:t>;</w:t>
      </w:r>
      <w:r w:rsidR="00B358FC" w:rsidRPr="00B358FC">
        <w:t xml:space="preserve"> </w:t>
      </w:r>
      <w:r w:rsidR="00B358FC" w:rsidRPr="00FA4BA4">
        <w:t>Gottschalk, 2007)</w:t>
      </w:r>
      <w:r w:rsidR="00B358FC">
        <w:t>.</w:t>
      </w:r>
    </w:p>
    <w:p w14:paraId="03FE3702" w14:textId="03540350" w:rsidR="00B358FC" w:rsidRDefault="00B358FC" w:rsidP="00B358FC">
      <w:pPr>
        <w:spacing w:after="0" w:line="288" w:lineRule="auto"/>
        <w:jc w:val="both"/>
      </w:pPr>
      <w:r>
        <w:t xml:space="preserve">Such conditions contribute to </w:t>
      </w:r>
      <w:r w:rsidRPr="00FA4BA4">
        <w:t>exclusion from peers and</w:t>
      </w:r>
      <w:r w:rsidR="00881CA2">
        <w:t xml:space="preserve"> heightened</w:t>
      </w:r>
      <w:r w:rsidRPr="00FA4BA4">
        <w:t xml:space="preserve"> concerns for safety </w:t>
      </w:r>
      <w:r w:rsidR="000978EE">
        <w:t>among</w:t>
      </w:r>
      <w:r w:rsidR="00572B97">
        <w:t xml:space="preserve"> many LGBTI young people </w:t>
      </w:r>
      <w:r w:rsidRPr="00FA4BA4">
        <w:t>in rural areas (Jones, 2017) coupled with elevated rates of self-harm, suicidal behaviour and drug-related problems (Arnold and Rosensteich, undated).</w:t>
      </w:r>
      <w:r w:rsidRPr="00995FAE">
        <w:t xml:space="preserve"> </w:t>
      </w:r>
      <w:r w:rsidR="00572B97">
        <w:t>Jones (2017) report that m</w:t>
      </w:r>
      <w:r w:rsidRPr="00FA4BA4">
        <w:t>any</w:t>
      </w:r>
      <w:r w:rsidR="001E19AF">
        <w:t xml:space="preserve"> LGBTI young people</w:t>
      </w:r>
      <w:r w:rsidRPr="00FA4BA4">
        <w:t xml:space="preserve"> therefore plan to leave </w:t>
      </w:r>
      <w:r w:rsidR="00554A16">
        <w:t>such areas</w:t>
      </w:r>
      <w:r>
        <w:t xml:space="preserve"> for the more</w:t>
      </w:r>
      <w:r w:rsidRPr="00FA4BA4">
        <w:t xml:space="preserve"> inclusive social environment </w:t>
      </w:r>
      <w:r>
        <w:t>of</w:t>
      </w:r>
      <w:r w:rsidRPr="00FA4BA4">
        <w:t xml:space="preserve"> the city.</w:t>
      </w:r>
      <w:r>
        <w:rPr>
          <w:rStyle w:val="FootnoteReference"/>
        </w:rPr>
        <w:footnoteReference w:id="4"/>
      </w:r>
    </w:p>
    <w:p w14:paraId="5E9856A8" w14:textId="5CB08D95" w:rsidR="00F81352" w:rsidRDefault="00B358FC" w:rsidP="00B358FC">
      <w:pPr>
        <w:spacing w:after="0" w:line="288" w:lineRule="auto"/>
        <w:jc w:val="both"/>
      </w:pPr>
      <w:r>
        <w:t>In addition, available</w:t>
      </w:r>
      <w:r w:rsidR="005575CE">
        <w:t xml:space="preserve"> local</w:t>
      </w:r>
      <w:r>
        <w:t xml:space="preserve"> services are often inadequate to meet the needs of </w:t>
      </w:r>
      <w:r w:rsidRPr="00FA4BA4">
        <w:t xml:space="preserve">LGBTI young people </w:t>
      </w:r>
      <w:r w:rsidR="005575CE">
        <w:t>in rural communities</w:t>
      </w:r>
      <w:r w:rsidR="00F81D5E">
        <w:t xml:space="preserve"> </w:t>
      </w:r>
      <w:r w:rsidRPr="00FA4BA4">
        <w:t>(Cowbow Community Health, undated</w:t>
      </w:r>
      <w:r>
        <w:t xml:space="preserve">; </w:t>
      </w:r>
      <w:r w:rsidRPr="00FA4BA4">
        <w:t>Lundhorst, 1997</w:t>
      </w:r>
      <w:r>
        <w:t xml:space="preserve">; </w:t>
      </w:r>
      <w:r w:rsidRPr="00FA4BA4">
        <w:t>Foster, 1997)</w:t>
      </w:r>
      <w:r>
        <w:t xml:space="preserve">. </w:t>
      </w:r>
    </w:p>
    <w:p w14:paraId="4A90FC53" w14:textId="4C43C7D0" w:rsidR="00B358FC" w:rsidRPr="00FA4BA4" w:rsidRDefault="001E19AF" w:rsidP="00B358FC">
      <w:pPr>
        <w:spacing w:after="0" w:line="288" w:lineRule="auto"/>
        <w:jc w:val="both"/>
      </w:pPr>
      <w:r>
        <w:lastRenderedPageBreak/>
        <w:t>Some c</w:t>
      </w:r>
      <w:r w:rsidR="00B358FC" w:rsidRPr="00FA4BA4">
        <w:t xml:space="preserve">ommentators therefore </w:t>
      </w:r>
      <w:r>
        <w:t>urge</w:t>
      </w:r>
      <w:r w:rsidR="00F81352">
        <w:t xml:space="preserve"> that</w:t>
      </w:r>
      <w:r w:rsidR="00B358FC" w:rsidRPr="00FA4BA4">
        <w:t xml:space="preserve"> increased training, specialized service provision, and other r</w:t>
      </w:r>
      <w:r w:rsidR="00554A16">
        <w:t>e</w:t>
      </w:r>
      <w:r w:rsidR="00B358FC" w:rsidRPr="00FA4BA4">
        <w:t>sour</w:t>
      </w:r>
      <w:r w:rsidR="00554A16">
        <w:t xml:space="preserve">ces </w:t>
      </w:r>
      <w:r>
        <w:t>be provided</w:t>
      </w:r>
      <w:r w:rsidR="00F81352">
        <w:t xml:space="preserve"> </w:t>
      </w:r>
      <w:r w:rsidR="00554A16">
        <w:t xml:space="preserve">in rural communities </w:t>
      </w:r>
      <w:r w:rsidR="00B358FC" w:rsidRPr="00FA4BA4">
        <w:t>(Jones, 2017; The Equity Project, 2020).</w:t>
      </w:r>
      <w:r w:rsidR="00B358FC">
        <w:t xml:space="preserve"> </w:t>
      </w:r>
      <w:r w:rsidR="00B358FC" w:rsidRPr="00FA4BA4">
        <w:t xml:space="preserve">In </w:t>
      </w:r>
      <w:r w:rsidR="00F81352">
        <w:t>one</w:t>
      </w:r>
      <w:r w:rsidR="00B358FC" w:rsidRPr="00FA4BA4">
        <w:t xml:space="preserve"> </w:t>
      </w:r>
      <w:r w:rsidR="000978EE">
        <w:t>program,</w:t>
      </w:r>
      <w:r w:rsidR="00B358FC" w:rsidRPr="00FA4BA4">
        <w:t xml:space="preserve"> a team of advocates </w:t>
      </w:r>
      <w:r w:rsidR="000978EE">
        <w:t>visited</w:t>
      </w:r>
      <w:r w:rsidR="00554A16">
        <w:t xml:space="preserve"> rural cent</w:t>
      </w:r>
      <w:r w:rsidR="00F81352">
        <w:t>er</w:t>
      </w:r>
      <w:r w:rsidR="00554A16">
        <w:t>s</w:t>
      </w:r>
      <w:r w:rsidR="00B358FC" w:rsidRPr="00FA4BA4">
        <w:t xml:space="preserve"> to promote community understanding and support, </w:t>
      </w:r>
      <w:r w:rsidR="00F81352">
        <w:t>establish</w:t>
      </w:r>
      <w:r w:rsidR="00B358FC" w:rsidRPr="00FA4BA4">
        <w:t xml:space="preserve"> networks, spur improvements in service delivery to LGBTI people</w:t>
      </w:r>
      <w:r w:rsidR="00B358FC">
        <w:t>,</w:t>
      </w:r>
      <w:r w:rsidR="00B358FC" w:rsidRPr="00FA4BA4">
        <w:t xml:space="preserve"> and promote local leadership in</w:t>
      </w:r>
      <w:r w:rsidR="00554A16">
        <w:t xml:space="preserve"> </w:t>
      </w:r>
      <w:r w:rsidR="00B358FC" w:rsidRPr="00FA4BA4">
        <w:t>such efforts (Engage Victoria, 2020).</w:t>
      </w:r>
    </w:p>
    <w:p w14:paraId="4613A9C6" w14:textId="1ED9D345" w:rsidR="006751DD" w:rsidRPr="006751DD" w:rsidRDefault="006751DD" w:rsidP="001E19AF">
      <w:pPr>
        <w:spacing w:before="60" w:after="40" w:line="240" w:lineRule="auto"/>
        <w:jc w:val="both"/>
        <w:rPr>
          <w:i/>
          <w:iCs/>
        </w:rPr>
      </w:pPr>
      <w:r w:rsidRPr="006751DD">
        <w:rPr>
          <w:i/>
          <w:iCs/>
        </w:rPr>
        <w:t>School programs</w:t>
      </w:r>
    </w:p>
    <w:p w14:paraId="6B0C506B" w14:textId="490FD028" w:rsidR="006751DD" w:rsidRDefault="004F1B41" w:rsidP="007821BF">
      <w:pPr>
        <w:spacing w:after="0" w:line="288" w:lineRule="auto"/>
        <w:jc w:val="both"/>
      </w:pPr>
      <w:r>
        <w:t>Whaling et al (2019)</w:t>
      </w:r>
      <w:r w:rsidR="006751DD">
        <w:t xml:space="preserve"> report that many gender or sexually diverse young people </w:t>
      </w:r>
      <w:r w:rsidR="00A10020">
        <w:t>feel</w:t>
      </w:r>
      <w:r w:rsidR="006751DD">
        <w:t xml:space="preserve"> </w:t>
      </w:r>
      <w:r w:rsidR="00A10020">
        <w:t xml:space="preserve">that </w:t>
      </w:r>
      <w:r w:rsidR="006751DD">
        <w:t xml:space="preserve">school programs </w:t>
      </w:r>
      <w:r w:rsidR="00554A16">
        <w:t>feature</w:t>
      </w:r>
      <w:r w:rsidR="006751DD">
        <w:t xml:space="preserve"> insufficient</w:t>
      </w:r>
      <w:r w:rsidR="00656B68">
        <w:t>,</w:t>
      </w:r>
      <w:r w:rsidR="006751DD">
        <w:t xml:space="preserve"> relevant content in sex education</w:t>
      </w:r>
      <w:r w:rsidR="00A10020">
        <w:t>,</w:t>
      </w:r>
      <w:r w:rsidR="006751DD">
        <w:t xml:space="preserve"> </w:t>
      </w:r>
      <w:r w:rsidR="00850A45">
        <w:t xml:space="preserve">and </w:t>
      </w:r>
      <w:r w:rsidR="006751DD">
        <w:t xml:space="preserve">are wary of classroom discussions </w:t>
      </w:r>
      <w:r w:rsidR="00A406A4">
        <w:t xml:space="preserve">about sexuality or relationships </w:t>
      </w:r>
      <w:r w:rsidR="006751DD">
        <w:t>for fear of disclosure or embarrassment</w:t>
      </w:r>
      <w:r w:rsidR="00850A45">
        <w:t>.</w:t>
      </w:r>
      <w:r w:rsidR="006751DD">
        <w:t xml:space="preserve"> </w:t>
      </w:r>
      <w:r w:rsidR="00F81352">
        <w:t>Such</w:t>
      </w:r>
      <w:r w:rsidR="00850A45">
        <w:t xml:space="preserve"> perceptions</w:t>
      </w:r>
      <w:r w:rsidR="006751DD">
        <w:t xml:space="preserve"> </w:t>
      </w:r>
      <w:r w:rsidR="00A10020">
        <w:t xml:space="preserve">point </w:t>
      </w:r>
      <w:r w:rsidR="006751DD">
        <w:t xml:space="preserve">up the </w:t>
      </w:r>
      <w:r w:rsidR="00A406A4">
        <w:t xml:space="preserve">possible </w:t>
      </w:r>
      <w:r w:rsidR="006751DD">
        <w:t>need for further teacher training, adjustment of curriculum, accompanied by modelling and expression of inclusive, respectful attitudes by teachers</w:t>
      </w:r>
      <w:r w:rsidR="00A10020">
        <w:t xml:space="preserve"> -</w:t>
      </w:r>
      <w:r w:rsidR="006751DD">
        <w:t xml:space="preserve"> </w:t>
      </w:r>
      <w:r w:rsidR="00A10020">
        <w:t>proposals</w:t>
      </w:r>
      <w:r w:rsidR="006751DD">
        <w:t xml:space="preserve"> </w:t>
      </w:r>
      <w:r w:rsidR="001E19AF">
        <w:t>endorsed</w:t>
      </w:r>
      <w:r w:rsidR="006751DD">
        <w:t xml:space="preserve"> </w:t>
      </w:r>
      <w:r w:rsidR="00A10020">
        <w:t>in the literature</w:t>
      </w:r>
      <w:r w:rsidR="006751DD">
        <w:t xml:space="preserve"> (</w:t>
      </w:r>
      <w:r w:rsidR="00222544">
        <w:t>Smith et al, 2014</w:t>
      </w:r>
      <w:r w:rsidR="006751DD">
        <w:t>).</w:t>
      </w:r>
    </w:p>
    <w:p w14:paraId="04A148C5" w14:textId="75F95E9B" w:rsidR="00222544" w:rsidRPr="00222544" w:rsidRDefault="00554A16" w:rsidP="00222544">
      <w:pPr>
        <w:spacing w:after="0" w:line="288" w:lineRule="auto"/>
        <w:jc w:val="both"/>
      </w:pPr>
      <w:r>
        <w:t xml:space="preserve">The </w:t>
      </w:r>
      <w:r w:rsidR="00F81352" w:rsidRPr="00222544">
        <w:t>National LGBTI Health Alliance (2018)</w:t>
      </w:r>
      <w:r w:rsidR="00F81352">
        <w:t xml:space="preserve"> </w:t>
      </w:r>
      <w:r w:rsidR="001869C9">
        <w:t>emphasizes</w:t>
      </w:r>
      <w:r w:rsidR="00F81352">
        <w:t xml:space="preserve"> the </w:t>
      </w:r>
      <w:r>
        <w:t>role of teachers in cultivating a safe, congenial school environment</w:t>
      </w:r>
      <w:r w:rsidR="00F81352">
        <w:t>,</w:t>
      </w:r>
      <w:r>
        <w:t xml:space="preserve"> observ</w:t>
      </w:r>
      <w:r w:rsidR="00F81352">
        <w:t>ing:</w:t>
      </w:r>
      <w:r w:rsidR="00222544">
        <w:t xml:space="preserve"> </w:t>
      </w:r>
      <w:r w:rsidR="00222544" w:rsidRPr="00222544">
        <w:t>“Having support from leaders</w:t>
      </w:r>
      <w:r w:rsidR="00F81352">
        <w:t>,</w:t>
      </w:r>
      <w:r w:rsidR="00222544" w:rsidRPr="00222544">
        <w:t xml:space="preserve"> such as teachers and supervisors</w:t>
      </w:r>
      <w:r w:rsidR="00F81352">
        <w:t>,</w:t>
      </w:r>
      <w:r w:rsidR="00222544" w:rsidRPr="00222544">
        <w:t xml:space="preserve"> increased social connectedness and accessible role model</w:t>
      </w:r>
      <w:r w:rsidR="00F81352">
        <w:t>s,</w:t>
      </w:r>
      <w:r w:rsidR="00222544" w:rsidRPr="00222544">
        <w:t xml:space="preserve"> leading to overall wellbeing.</w:t>
      </w:r>
      <w:r>
        <w:t>”</w:t>
      </w:r>
      <w:r w:rsidR="00222544" w:rsidRPr="00222544">
        <w:t xml:space="preserve"> </w:t>
      </w:r>
      <w:r w:rsidR="00F81352">
        <w:t>Inversely</w:t>
      </w:r>
      <w:r>
        <w:t xml:space="preserve">, Smith et al (2014) found </w:t>
      </w:r>
      <w:r w:rsidR="00D3315F">
        <w:t xml:space="preserve">that trans and gender diverse pupils who did </w:t>
      </w:r>
      <w:r w:rsidRPr="00881CA2">
        <w:rPr>
          <w:i/>
          <w:iCs/>
        </w:rPr>
        <w:t>not</w:t>
      </w:r>
      <w:r>
        <w:t xml:space="preserve"> perceive their teachers as supportive </w:t>
      </w:r>
      <w:r w:rsidR="00D3315F">
        <w:t xml:space="preserve">were four times more likely to drop out of school than </w:t>
      </w:r>
      <w:r>
        <w:t>others</w:t>
      </w:r>
      <w:r w:rsidR="00F95390">
        <w:t>.</w:t>
      </w:r>
    </w:p>
    <w:p w14:paraId="07C18D2E" w14:textId="1B7C3E04" w:rsidR="006751DD" w:rsidRPr="006751DD" w:rsidRDefault="006751DD" w:rsidP="001E19AF">
      <w:pPr>
        <w:spacing w:before="60" w:after="40" w:line="240" w:lineRule="auto"/>
        <w:jc w:val="both"/>
        <w:rPr>
          <w:i/>
          <w:iCs/>
        </w:rPr>
      </w:pPr>
      <w:r w:rsidRPr="006751DD">
        <w:rPr>
          <w:i/>
          <w:iCs/>
        </w:rPr>
        <w:t>Family support</w:t>
      </w:r>
    </w:p>
    <w:p w14:paraId="797DD7F8" w14:textId="01BEE0C1" w:rsidR="00F81352" w:rsidRDefault="008916C2" w:rsidP="00AF21C8">
      <w:pPr>
        <w:spacing w:after="0" w:line="288" w:lineRule="auto"/>
        <w:jc w:val="both"/>
      </w:pPr>
      <w:r>
        <w:t>A US study of 245 21-25 year old LGBTI young adult</w:t>
      </w:r>
      <w:r w:rsidR="00F81352">
        <w:t>s</w:t>
      </w:r>
      <w:r>
        <w:t xml:space="preserve"> </w:t>
      </w:r>
      <w:r w:rsidR="00F81352">
        <w:t>established</w:t>
      </w:r>
      <w:r>
        <w:t xml:space="preserve"> that family support plays a crucial role in assisting young LGBTI people to form a healthy sense of</w:t>
      </w:r>
      <w:r w:rsidR="00375321">
        <w:t xml:space="preserve"> personal identity</w:t>
      </w:r>
      <w:r>
        <w:t xml:space="preserve"> </w:t>
      </w:r>
      <w:r w:rsidR="0097359D">
        <w:t>(Snapp et al, 2015)</w:t>
      </w:r>
      <w:r w:rsidR="000B73E3">
        <w:t xml:space="preserve">, a finding </w:t>
      </w:r>
      <w:r w:rsidR="00881CA2">
        <w:t>substantiated</w:t>
      </w:r>
      <w:r w:rsidR="000B73E3">
        <w:t xml:space="preserve"> in an Australian study of trans and gender diverse young people (Strauss et al, 2017)</w:t>
      </w:r>
      <w:r>
        <w:t>.</w:t>
      </w:r>
      <w:r w:rsidR="0097359D">
        <w:t xml:space="preserve"> </w:t>
      </w:r>
      <w:r w:rsidR="00F81352">
        <w:t>On the other hand</w:t>
      </w:r>
      <w:r w:rsidR="0097359D">
        <w:t>, p</w:t>
      </w:r>
      <w:r w:rsidR="00876CED">
        <w:t xml:space="preserve">arental rejection of children on the basis of their gender identity or sexuality </w:t>
      </w:r>
      <w:r w:rsidR="005575CE">
        <w:t>is</w:t>
      </w:r>
      <w:r w:rsidR="00876CED">
        <w:t xml:space="preserve"> associated with unfavorable </w:t>
      </w:r>
      <w:r w:rsidR="00AF21C8">
        <w:t xml:space="preserve">health and developmental outcomes </w:t>
      </w:r>
      <w:r w:rsidR="00876CED">
        <w:t xml:space="preserve">(Katz-Wise et al, 2017). </w:t>
      </w:r>
    </w:p>
    <w:p w14:paraId="597348B7" w14:textId="071C0618" w:rsidR="006751DD" w:rsidRDefault="00876CED" w:rsidP="00AF21C8">
      <w:pPr>
        <w:spacing w:after="0" w:line="288" w:lineRule="auto"/>
        <w:jc w:val="both"/>
      </w:pPr>
      <w:r>
        <w:t>E</w:t>
      </w:r>
      <w:r w:rsidR="006751DD">
        <w:t xml:space="preserve">nhanced support and information for parents and siblings of </w:t>
      </w:r>
      <w:r w:rsidR="00850A45">
        <w:t>LGBTI</w:t>
      </w:r>
      <w:r w:rsidR="006751DD">
        <w:t xml:space="preserve"> individuals, including professional services and parent groups, </w:t>
      </w:r>
      <w:r w:rsidR="00AF21C8">
        <w:t>is</w:t>
      </w:r>
      <w:r w:rsidR="00F81352">
        <w:t xml:space="preserve"> therefore</w:t>
      </w:r>
      <w:r w:rsidR="00AF21C8">
        <w:t xml:space="preserve"> widely </w:t>
      </w:r>
      <w:r w:rsidR="001E19AF">
        <w:t>favoured</w:t>
      </w:r>
      <w:r w:rsidR="00AF21C8">
        <w:t xml:space="preserve"> as a means </w:t>
      </w:r>
      <w:r w:rsidR="006751DD">
        <w:t xml:space="preserve">to help them understand and affirm their child’s </w:t>
      </w:r>
      <w:r w:rsidR="00850A45">
        <w:t>sexuality</w:t>
      </w:r>
      <w:r w:rsidR="006751DD">
        <w:t xml:space="preserve"> and expressed gender (</w:t>
      </w:r>
      <w:r w:rsidR="00D973C4">
        <w:t>National LGBT Health Alliance, 2009</w:t>
      </w:r>
      <w:r w:rsidR="006751DD">
        <w:t xml:space="preserve">; </w:t>
      </w:r>
      <w:r w:rsidR="00D973C4">
        <w:t>Loft, 2016</w:t>
      </w:r>
      <w:r w:rsidR="006751DD">
        <w:t xml:space="preserve">). Such </w:t>
      </w:r>
      <w:r w:rsidR="00AF21C8">
        <w:t>outcomes may, in turn, reduce</w:t>
      </w:r>
      <w:r w:rsidR="002D03C3">
        <w:t xml:space="preserve"> stress</w:t>
      </w:r>
      <w:r w:rsidR="00AF21C8">
        <w:t xml:space="preserve"> and</w:t>
      </w:r>
      <w:r w:rsidR="002D03C3">
        <w:t xml:space="preserve"> concealment of identity,</w:t>
      </w:r>
      <w:r w:rsidR="006751DD">
        <w:t xml:space="preserve"> </w:t>
      </w:r>
      <w:r w:rsidR="00656B68">
        <w:t xml:space="preserve">promote a healthy, confident sexuality, </w:t>
      </w:r>
      <w:r w:rsidR="00AF21C8">
        <w:t xml:space="preserve">and </w:t>
      </w:r>
      <w:r w:rsidR="00656B68">
        <w:t xml:space="preserve">thereby </w:t>
      </w:r>
      <w:r w:rsidR="00AF21C8">
        <w:t>lower the prevalence of</w:t>
      </w:r>
      <w:r w:rsidR="006751DD">
        <w:t xml:space="preserve"> </w:t>
      </w:r>
      <w:r w:rsidR="00AF21C8">
        <w:t>intimate partner</w:t>
      </w:r>
      <w:r w:rsidR="006751DD">
        <w:t xml:space="preserve"> violence.</w:t>
      </w:r>
    </w:p>
    <w:p w14:paraId="054B14A0" w14:textId="01F48E1A" w:rsidR="006751DD" w:rsidRPr="00555046" w:rsidRDefault="006751DD" w:rsidP="001E19AF">
      <w:pPr>
        <w:spacing w:before="60" w:after="40" w:line="240" w:lineRule="auto"/>
        <w:jc w:val="both"/>
        <w:rPr>
          <w:i/>
          <w:iCs/>
        </w:rPr>
      </w:pPr>
      <w:r w:rsidRPr="00555046">
        <w:rPr>
          <w:i/>
          <w:iCs/>
        </w:rPr>
        <w:t xml:space="preserve">Informing </w:t>
      </w:r>
      <w:r w:rsidR="00981D6E">
        <w:rPr>
          <w:i/>
          <w:iCs/>
        </w:rPr>
        <w:t>LGBTI communities</w:t>
      </w:r>
    </w:p>
    <w:p w14:paraId="1AEB5CC6" w14:textId="47AFB512" w:rsidR="00787D43" w:rsidRDefault="0028530D" w:rsidP="007821BF">
      <w:pPr>
        <w:spacing w:after="0" w:line="288" w:lineRule="auto"/>
        <w:jc w:val="both"/>
      </w:pPr>
      <w:r w:rsidRPr="007821BF">
        <w:t>It is further proposed that efforts be made to foster an awareness of intimate partner violence among LGBTI people</w:t>
      </w:r>
      <w:r w:rsidR="00D529CC" w:rsidRPr="007821BF">
        <w:t>;</w:t>
      </w:r>
      <w:r w:rsidRPr="007821BF">
        <w:t xml:space="preserve"> includ</w:t>
      </w:r>
      <w:r w:rsidR="00D529CC" w:rsidRPr="007821BF">
        <w:t>e</w:t>
      </w:r>
      <w:r w:rsidRPr="007821BF">
        <w:t xml:space="preserve"> them in developing campaigns to inform the community of the existence, nature and impact of violence</w:t>
      </w:r>
      <w:r w:rsidR="00D529CC" w:rsidRPr="007821BF">
        <w:t>;</w:t>
      </w:r>
      <w:r w:rsidRPr="007821BF">
        <w:t xml:space="preserve"> </w:t>
      </w:r>
      <w:r w:rsidR="002D03C3" w:rsidRPr="007821BF">
        <w:t>inform them about sources of assistance</w:t>
      </w:r>
      <w:r w:rsidR="001E19AF">
        <w:t xml:space="preserve"> to address intimate partner violence</w:t>
      </w:r>
      <w:r w:rsidR="00D529CC" w:rsidRPr="007821BF">
        <w:t>;</w:t>
      </w:r>
      <w:r w:rsidRPr="007821BF">
        <w:t xml:space="preserve"> and </w:t>
      </w:r>
      <w:r w:rsidR="00D529CC" w:rsidRPr="007821BF">
        <w:t>raise</w:t>
      </w:r>
      <w:r w:rsidRPr="007821BF">
        <w:t xml:space="preserve"> the profile of LGBTI people, as clients, in the promotion of </w:t>
      </w:r>
      <w:r w:rsidR="001E19AF">
        <w:t xml:space="preserve">relevant </w:t>
      </w:r>
      <w:r w:rsidRPr="007821BF">
        <w:t>services (</w:t>
      </w:r>
      <w:r w:rsidR="00770866">
        <w:t>Leith et al, 2020</w:t>
      </w:r>
      <w:r w:rsidRPr="007821BF">
        <w:t xml:space="preserve">; </w:t>
      </w:r>
      <w:r w:rsidR="00D973C4">
        <w:t>Loft, 2016</w:t>
      </w:r>
      <w:r w:rsidRPr="007821BF">
        <w:t>).</w:t>
      </w:r>
    </w:p>
    <w:p w14:paraId="0616A7D9" w14:textId="6F8F7AAC" w:rsidR="00787D43" w:rsidRPr="00787D43" w:rsidRDefault="008A5373" w:rsidP="001E19AF">
      <w:pPr>
        <w:spacing w:before="60" w:after="40" w:line="240" w:lineRule="auto"/>
        <w:jc w:val="both"/>
        <w:rPr>
          <w:i/>
          <w:iCs/>
        </w:rPr>
      </w:pPr>
      <w:r>
        <w:rPr>
          <w:i/>
          <w:iCs/>
        </w:rPr>
        <w:t xml:space="preserve">Strengthening connections with </w:t>
      </w:r>
      <w:r w:rsidR="00981D6E">
        <w:rPr>
          <w:i/>
          <w:iCs/>
        </w:rPr>
        <w:t>LGBTI communities</w:t>
      </w:r>
    </w:p>
    <w:p w14:paraId="5EF1BCD5" w14:textId="0A16D0DE" w:rsidR="0028530D" w:rsidRDefault="0028530D" w:rsidP="007821BF">
      <w:pPr>
        <w:spacing w:after="0" w:line="288" w:lineRule="auto"/>
        <w:jc w:val="both"/>
      </w:pPr>
      <w:r w:rsidRPr="007821BF">
        <w:t xml:space="preserve">An Australian interview </w:t>
      </w:r>
      <w:r w:rsidR="003555D8" w:rsidRPr="007821BF">
        <w:t xml:space="preserve">study found that the </w:t>
      </w:r>
      <w:r w:rsidR="002356AE">
        <w:t xml:space="preserve">LGBTI </w:t>
      </w:r>
      <w:r w:rsidR="003555D8" w:rsidRPr="007821BF">
        <w:t xml:space="preserve">community was a valued and beneficial source of </w:t>
      </w:r>
      <w:r w:rsidR="00AF21C8">
        <w:t>companionship and personal validation</w:t>
      </w:r>
      <w:r w:rsidR="003555D8" w:rsidRPr="007821BF">
        <w:t xml:space="preserve"> </w:t>
      </w:r>
      <w:r w:rsidR="00052870" w:rsidRPr="007821BF">
        <w:t xml:space="preserve">among LGBTI individuals </w:t>
      </w:r>
      <w:r w:rsidR="003555D8" w:rsidRPr="007821BF">
        <w:t>(</w:t>
      </w:r>
      <w:r w:rsidR="00770866">
        <w:t>Leith et al, 2020</w:t>
      </w:r>
      <w:r w:rsidR="003555D8" w:rsidRPr="007821BF">
        <w:t xml:space="preserve">). </w:t>
      </w:r>
      <w:r w:rsidR="00230B66">
        <w:t>Meyer</w:t>
      </w:r>
      <w:r w:rsidR="008F4312">
        <w:t xml:space="preserve"> (</w:t>
      </w:r>
      <w:r w:rsidR="00230B66">
        <w:t>2003</w:t>
      </w:r>
      <w:r w:rsidR="008F4312">
        <w:t>)</w:t>
      </w:r>
      <w:r w:rsidR="003555D8" w:rsidRPr="007821BF">
        <w:t xml:space="preserve"> add</w:t>
      </w:r>
      <w:r w:rsidR="00052870" w:rsidRPr="007821BF">
        <w:t>s</w:t>
      </w:r>
      <w:r w:rsidR="003555D8" w:rsidRPr="007821BF">
        <w:t xml:space="preserve"> that the ‘solidarity and inclusiveness’ with a peer group </w:t>
      </w:r>
      <w:r w:rsidR="00052870" w:rsidRPr="007821BF">
        <w:t>that</w:t>
      </w:r>
      <w:r w:rsidR="003555D8" w:rsidRPr="007821BF">
        <w:t xml:space="preserve"> respects and includes them, </w:t>
      </w:r>
      <w:r w:rsidR="000B018C" w:rsidRPr="007821BF">
        <w:t>may</w:t>
      </w:r>
      <w:r w:rsidR="003555D8" w:rsidRPr="007821BF">
        <w:t xml:space="preserve"> help to </w:t>
      </w:r>
      <w:r w:rsidR="00F81352">
        <w:t>dispel</w:t>
      </w:r>
      <w:r w:rsidR="003555D8" w:rsidRPr="007821BF">
        <w:t xml:space="preserve"> the stresses of </w:t>
      </w:r>
      <w:r w:rsidR="006751DD" w:rsidRPr="007821BF">
        <w:t>discrimination</w:t>
      </w:r>
      <w:r w:rsidR="003555D8" w:rsidRPr="007821BF">
        <w:t xml:space="preserve"> and </w:t>
      </w:r>
      <w:r w:rsidR="00572B97">
        <w:t>diminish its contribution to</w:t>
      </w:r>
      <w:r w:rsidR="00554A16">
        <w:t xml:space="preserve"> intimate partner abuse</w:t>
      </w:r>
      <w:r w:rsidR="003555D8" w:rsidRPr="007821BF">
        <w:t xml:space="preserve">. </w:t>
      </w:r>
      <w:r w:rsidR="005575CE">
        <w:t>Relevantly</w:t>
      </w:r>
      <w:r w:rsidR="00052870" w:rsidRPr="007821BF">
        <w:t xml:space="preserve">, </w:t>
      </w:r>
      <w:r w:rsidR="00230B66">
        <w:t>Stephenson and Finneran</w:t>
      </w:r>
      <w:r w:rsidR="008F4312">
        <w:t xml:space="preserve"> (</w:t>
      </w:r>
      <w:r w:rsidR="00230B66">
        <w:t>2017</w:t>
      </w:r>
      <w:r w:rsidR="008F4312">
        <w:t>)</w:t>
      </w:r>
      <w:r w:rsidR="00B86226" w:rsidRPr="007821BF">
        <w:t xml:space="preserve"> </w:t>
      </w:r>
      <w:r w:rsidR="00554A16">
        <w:t>relate</w:t>
      </w:r>
      <w:r w:rsidR="00B86226" w:rsidRPr="007821BF">
        <w:t xml:space="preserve"> </w:t>
      </w:r>
      <w:r w:rsidR="00554A16">
        <w:t xml:space="preserve">evidence </w:t>
      </w:r>
      <w:r w:rsidR="00B86226" w:rsidRPr="007821BF">
        <w:t>that close connections with the</w:t>
      </w:r>
      <w:r w:rsidR="000B018C" w:rsidRPr="007821BF">
        <w:t>ir</w:t>
      </w:r>
      <w:r w:rsidR="00B86226" w:rsidRPr="007821BF">
        <w:t xml:space="preserve"> community </w:t>
      </w:r>
      <w:r w:rsidR="004F3AA7">
        <w:t>are associated with</w:t>
      </w:r>
      <w:r w:rsidR="00B86226" w:rsidRPr="007821BF">
        <w:t xml:space="preserve"> a </w:t>
      </w:r>
      <w:r w:rsidR="00F81352">
        <w:t>decline</w:t>
      </w:r>
      <w:r w:rsidR="00B86226" w:rsidRPr="007821BF">
        <w:t xml:space="preserve"> in the incidence of intimate partner violence</w:t>
      </w:r>
      <w:r w:rsidR="000B018C" w:rsidRPr="007821BF">
        <w:t xml:space="preserve"> among LGBTI people</w:t>
      </w:r>
      <w:r w:rsidR="00B86226" w:rsidRPr="007821BF">
        <w:t>.</w:t>
      </w:r>
    </w:p>
    <w:p w14:paraId="17125590" w14:textId="190AF84D" w:rsidR="002356AE" w:rsidRDefault="002356AE" w:rsidP="007821BF">
      <w:pPr>
        <w:spacing w:after="0" w:line="288" w:lineRule="auto"/>
        <w:jc w:val="both"/>
      </w:pPr>
      <w:r>
        <w:t xml:space="preserve">In addition, </w:t>
      </w:r>
      <w:r w:rsidR="00F81352">
        <w:t xml:space="preserve">Brown (2017B) maintains that </w:t>
      </w:r>
      <w:r w:rsidR="0040259C">
        <w:t>encouraging personal contact between the general community and LGBTI individuals, and raising the prominence of the LGBTI community</w:t>
      </w:r>
      <w:r w:rsidR="00F81352">
        <w:t>,</w:t>
      </w:r>
      <w:r w:rsidR="0040259C">
        <w:t xml:space="preserve"> contributes to more respectful attitudes</w:t>
      </w:r>
      <w:r w:rsidR="00B3678A">
        <w:t>,</w:t>
      </w:r>
      <w:r w:rsidR="0040259C">
        <w:t xml:space="preserve"> </w:t>
      </w:r>
      <w:r w:rsidR="00881CA2">
        <w:t xml:space="preserve">thereby </w:t>
      </w:r>
      <w:r w:rsidR="00B3678A">
        <w:t>helping to foster respect and</w:t>
      </w:r>
      <w:r w:rsidR="0040259C">
        <w:t xml:space="preserve"> </w:t>
      </w:r>
      <w:r w:rsidR="007534CA">
        <w:t>assuage</w:t>
      </w:r>
      <w:r w:rsidR="0040259C">
        <w:t xml:space="preserve"> antagonism.</w:t>
      </w:r>
    </w:p>
    <w:p w14:paraId="1C3073E2" w14:textId="734D8205" w:rsidR="006751DD" w:rsidRPr="00555046" w:rsidRDefault="001E19AF" w:rsidP="001E19AF">
      <w:pPr>
        <w:spacing w:before="60" w:after="40" w:line="240" w:lineRule="auto"/>
        <w:jc w:val="both"/>
        <w:rPr>
          <w:i/>
          <w:iCs/>
        </w:rPr>
      </w:pPr>
      <w:r>
        <w:rPr>
          <w:noProof/>
          <w:color w:val="000000" w:themeColor="text1"/>
        </w:rPr>
        <w:lastRenderedPageBreak/>
        <w:drawing>
          <wp:anchor distT="0" distB="0" distL="114300" distR="114300" simplePos="0" relativeHeight="251660288" behindDoc="0" locked="0" layoutInCell="1" allowOverlap="1" wp14:anchorId="2490FE50" wp14:editId="7D3F6402">
            <wp:simplePos x="0" y="0"/>
            <wp:positionH relativeFrom="margin">
              <wp:posOffset>2437130</wp:posOffset>
            </wp:positionH>
            <wp:positionV relativeFrom="paragraph">
              <wp:posOffset>138430</wp:posOffset>
            </wp:positionV>
            <wp:extent cx="3658870" cy="230505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658870" cy="2305050"/>
                    </a:xfrm>
                    <a:prstGeom prst="rect">
                      <a:avLst/>
                    </a:prstGeom>
                    <a:noFill/>
                  </pic:spPr>
                </pic:pic>
              </a:graphicData>
            </a:graphic>
            <wp14:sizeRelH relativeFrom="page">
              <wp14:pctWidth>0</wp14:pctWidth>
            </wp14:sizeRelH>
            <wp14:sizeRelV relativeFrom="page">
              <wp14:pctHeight>0</wp14:pctHeight>
            </wp14:sizeRelV>
          </wp:anchor>
        </w:drawing>
      </w:r>
      <w:r w:rsidR="004F3AA7">
        <w:rPr>
          <w:i/>
          <w:iCs/>
        </w:rPr>
        <w:t>Responsive service provision</w:t>
      </w:r>
    </w:p>
    <w:p w14:paraId="604F7A43" w14:textId="6B8E00BB" w:rsidR="00953ADB" w:rsidRDefault="00B86226" w:rsidP="00A406A4">
      <w:pPr>
        <w:spacing w:before="60" w:after="0" w:line="288" w:lineRule="auto"/>
        <w:jc w:val="both"/>
      </w:pPr>
      <w:r w:rsidRPr="007821BF">
        <w:t xml:space="preserve">Service development is </w:t>
      </w:r>
      <w:r w:rsidR="006751DD" w:rsidRPr="007821BF">
        <w:t>endorsed</w:t>
      </w:r>
      <w:r w:rsidRPr="007821BF">
        <w:t xml:space="preserve"> </w:t>
      </w:r>
      <w:r w:rsidR="000B018C" w:rsidRPr="007821BF">
        <w:t xml:space="preserve">as a </w:t>
      </w:r>
      <w:r w:rsidR="00AF21C8">
        <w:t>means</w:t>
      </w:r>
      <w:r w:rsidR="000B018C" w:rsidRPr="007821BF">
        <w:t xml:space="preserve"> to</w:t>
      </w:r>
      <w:r w:rsidRPr="007821BF">
        <w:t xml:space="preserve"> </w:t>
      </w:r>
      <w:r w:rsidR="000B018C" w:rsidRPr="007821BF">
        <w:t>adapt</w:t>
      </w:r>
      <w:r w:rsidRPr="007821BF">
        <w:t xml:space="preserve"> generalist </w:t>
      </w:r>
      <w:r w:rsidR="006751DD" w:rsidRPr="007821BF">
        <w:t>services</w:t>
      </w:r>
      <w:r w:rsidRPr="007821BF">
        <w:t xml:space="preserve"> to the needs of LGBTI </w:t>
      </w:r>
      <w:r w:rsidR="006751DD" w:rsidRPr="007821BF">
        <w:t>individuals</w:t>
      </w:r>
      <w:r w:rsidR="000B018C" w:rsidRPr="007821BF">
        <w:t>,</w:t>
      </w:r>
      <w:r w:rsidRPr="007821BF">
        <w:t xml:space="preserve"> and </w:t>
      </w:r>
      <w:r w:rsidR="00DA2559">
        <w:t>extend</w:t>
      </w:r>
      <w:r w:rsidRPr="007821BF">
        <w:t xml:space="preserve"> </w:t>
      </w:r>
      <w:r w:rsidR="006751DD" w:rsidRPr="007821BF">
        <w:t>specialist</w:t>
      </w:r>
      <w:r w:rsidRPr="007821BF">
        <w:t xml:space="preserve"> </w:t>
      </w:r>
      <w:r w:rsidR="00DA2559">
        <w:t>assistance to them,</w:t>
      </w:r>
      <w:r w:rsidRPr="007821BF">
        <w:t xml:space="preserve"> where required. </w:t>
      </w:r>
      <w:r w:rsidR="00953ADB">
        <w:t xml:space="preserve">Evidence indicates that a variety of services may </w:t>
      </w:r>
      <w:r w:rsidR="00953ADB" w:rsidRPr="00A406A4">
        <w:t xml:space="preserve">be approached </w:t>
      </w:r>
      <w:r w:rsidR="00A406A4" w:rsidRPr="00A406A4">
        <w:t xml:space="preserve">by LGBTI individuals </w:t>
      </w:r>
      <w:r w:rsidR="00953ADB" w:rsidRPr="00A406A4">
        <w:t>for assistance</w:t>
      </w:r>
      <w:r w:rsidR="00A406A4" w:rsidRPr="00A406A4">
        <w:t xml:space="preserve"> in addressing intimate partner violence</w:t>
      </w:r>
      <w:r w:rsidR="00881CA2">
        <w:t>, with the implication that such initiatives may be relevant to a variety of services</w:t>
      </w:r>
      <w:r w:rsidR="00953ADB" w:rsidRPr="00A406A4">
        <w:t xml:space="preserve">. </w:t>
      </w:r>
      <w:r w:rsidR="001D7C17">
        <w:t>For example, a</w:t>
      </w:r>
      <w:r w:rsidR="00A406A4" w:rsidRPr="00A406A4">
        <w:t>gencies approached for assistance by</w:t>
      </w:r>
      <w:r w:rsidR="00953ADB" w:rsidRPr="00A406A4">
        <w:t xml:space="preserve"> </w:t>
      </w:r>
      <w:r w:rsidR="001E19AF">
        <w:t xml:space="preserve">LGBTI </w:t>
      </w:r>
      <w:r w:rsidR="00A406A4" w:rsidRPr="00A406A4">
        <w:t xml:space="preserve">participants in a recent Victorian survey </w:t>
      </w:r>
      <w:r w:rsidR="001E19AF">
        <w:t xml:space="preserve">are </w:t>
      </w:r>
      <w:r w:rsidR="009A73C2" w:rsidRPr="00A406A4">
        <w:t xml:space="preserve">recorded </w:t>
      </w:r>
      <w:r w:rsidR="000F3EE9" w:rsidRPr="00A406A4">
        <w:t>in the accompanying diagram</w:t>
      </w:r>
      <w:r w:rsidR="00A406A4" w:rsidRPr="00A406A4">
        <w:t xml:space="preserve"> </w:t>
      </w:r>
      <w:r w:rsidR="00A406A4">
        <w:t>(Victorian Agency for Health Information, 2020)</w:t>
      </w:r>
      <w:r w:rsidR="000F3EE9" w:rsidRPr="00A406A4">
        <w:t>.</w:t>
      </w:r>
    </w:p>
    <w:p w14:paraId="5F40359A" w14:textId="577BB193" w:rsidR="00401138" w:rsidRDefault="00401138" w:rsidP="00401138">
      <w:pPr>
        <w:spacing w:before="60" w:after="0" w:line="288" w:lineRule="auto"/>
        <w:jc w:val="both"/>
      </w:pPr>
      <w:r w:rsidRPr="00401138">
        <w:rPr>
          <w:noProof/>
        </w:rPr>
        <w:drawing>
          <wp:anchor distT="0" distB="0" distL="114300" distR="114300" simplePos="0" relativeHeight="251672576" behindDoc="0" locked="0" layoutInCell="1" allowOverlap="1" wp14:anchorId="554545B3" wp14:editId="5870DCEB">
            <wp:simplePos x="0" y="0"/>
            <wp:positionH relativeFrom="margin">
              <wp:align>left</wp:align>
            </wp:positionH>
            <wp:positionV relativeFrom="paragraph">
              <wp:posOffset>110490</wp:posOffset>
            </wp:positionV>
            <wp:extent cx="4149090" cy="2595245"/>
            <wp:effectExtent l="0" t="0" r="3810" b="0"/>
            <wp:wrapSquare wrapText="bothSides"/>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149090" cy="2595245"/>
                    </a:xfrm>
                    <a:prstGeom prst="rect">
                      <a:avLst/>
                    </a:prstGeom>
                    <a:noFill/>
                  </pic:spPr>
                </pic:pic>
              </a:graphicData>
            </a:graphic>
            <wp14:sizeRelH relativeFrom="page">
              <wp14:pctWidth>0</wp14:pctWidth>
            </wp14:sizeRelH>
            <wp14:sizeRelV relativeFrom="page">
              <wp14:pctHeight>0</wp14:pctHeight>
            </wp14:sizeRelV>
          </wp:anchor>
        </w:drawing>
      </w:r>
      <w:r>
        <w:t xml:space="preserve">In the 2019 ‘Private Lives’ survey </w:t>
      </w:r>
      <w:r w:rsidRPr="00401138">
        <w:t xml:space="preserve">28% </w:t>
      </w:r>
      <w:r w:rsidRPr="0069264E">
        <w:t xml:space="preserve">of those who had experienced intimate partner violence stated that they had reported the most recent incident. Among them, 19% </w:t>
      </w:r>
      <w:r>
        <w:t>informed</w:t>
      </w:r>
      <w:r w:rsidRPr="0069264E">
        <w:t xml:space="preserve"> a counsellor or psychologist, 5.9% the police and 4.4% a medical professional</w:t>
      </w:r>
      <w:r w:rsidR="00551C0F">
        <w:t xml:space="preserve"> (Hill et al, 2020)</w:t>
      </w:r>
      <w:r>
        <w:t xml:space="preserve">. </w:t>
      </w:r>
    </w:p>
    <w:p w14:paraId="398F7423" w14:textId="77777777" w:rsidR="00401138" w:rsidRPr="006A63CA" w:rsidRDefault="00401138" w:rsidP="00401138">
      <w:pPr>
        <w:spacing w:after="0" w:line="240" w:lineRule="auto"/>
        <w:jc w:val="both"/>
        <w:rPr>
          <w:color w:val="7F7F7F" w:themeColor="text1" w:themeTint="80"/>
          <w:sz w:val="10"/>
          <w:szCs w:val="10"/>
        </w:rPr>
      </w:pPr>
    </w:p>
    <w:p w14:paraId="7BC905E0" w14:textId="77777777" w:rsidR="00401138" w:rsidRPr="007726DA" w:rsidRDefault="00401138" w:rsidP="00401138">
      <w:pPr>
        <w:spacing w:after="0" w:line="240" w:lineRule="auto"/>
        <w:jc w:val="both"/>
        <w:rPr>
          <w:color w:val="7F7F7F" w:themeColor="text1" w:themeTint="80"/>
          <w:sz w:val="20"/>
          <w:szCs w:val="20"/>
        </w:rPr>
      </w:pPr>
      <w:r w:rsidRPr="007726DA">
        <w:rPr>
          <w:color w:val="7F7F7F" w:themeColor="text1" w:themeTint="80"/>
          <w:sz w:val="20"/>
          <w:szCs w:val="20"/>
        </w:rPr>
        <w:t xml:space="preserve">Persons who reported their most recent incident of intimate partner by where the report was made </w:t>
      </w:r>
    </w:p>
    <w:p w14:paraId="0C4914A5" w14:textId="77777777" w:rsidR="00401138" w:rsidRDefault="00401138" w:rsidP="00401138">
      <w:pPr>
        <w:spacing w:before="60" w:after="0" w:line="288" w:lineRule="auto"/>
        <w:jc w:val="both"/>
      </w:pPr>
    </w:p>
    <w:p w14:paraId="62E9642E" w14:textId="6AA9C160" w:rsidR="00401138" w:rsidRPr="00401138" w:rsidRDefault="00401138" w:rsidP="00401138">
      <w:pPr>
        <w:spacing w:before="60" w:after="0" w:line="288" w:lineRule="auto"/>
        <w:jc w:val="both"/>
      </w:pPr>
      <w:r>
        <w:t xml:space="preserve">Notably, in contrast to the findings reported above, the Private Lives survey inquired about the most recent incident, rather than where respondents had </w:t>
      </w:r>
      <w:r w:rsidRPr="00401138">
        <w:rPr>
          <w:i/>
          <w:iCs/>
        </w:rPr>
        <w:t>ever</w:t>
      </w:r>
      <w:r>
        <w:t xml:space="preserve"> reported such violence, and aggregated the findings in a different manner, making comparison difficult. </w:t>
      </w:r>
    </w:p>
    <w:p w14:paraId="5DF42ABE" w14:textId="67698EBA" w:rsidR="00B86226" w:rsidRPr="007821BF" w:rsidRDefault="00401138" w:rsidP="00A406A4">
      <w:pPr>
        <w:spacing w:before="60" w:after="0" w:line="288" w:lineRule="auto"/>
        <w:jc w:val="both"/>
      </w:pPr>
      <w:r>
        <w:t>In considering such circumstances, s</w:t>
      </w:r>
      <w:r w:rsidR="000B018C" w:rsidRPr="007821BF">
        <w:t>ome</w:t>
      </w:r>
      <w:r w:rsidR="00AF21C8">
        <w:t xml:space="preserve"> writers</w:t>
      </w:r>
      <w:r w:rsidR="000B018C" w:rsidRPr="007821BF">
        <w:t xml:space="preserve"> therefore</w:t>
      </w:r>
      <w:r w:rsidR="00B86226" w:rsidRPr="007821BF">
        <w:t xml:space="preserve"> </w:t>
      </w:r>
      <w:r w:rsidR="00AF21C8">
        <w:t>propose</w:t>
      </w:r>
      <w:r w:rsidR="00B86226" w:rsidRPr="007821BF">
        <w:t xml:space="preserve"> </w:t>
      </w:r>
      <w:r w:rsidR="006751DD" w:rsidRPr="007821BF">
        <w:t>further</w:t>
      </w:r>
      <w:r w:rsidR="00B86226" w:rsidRPr="007821BF">
        <w:t xml:space="preserve"> training for mainstream service providers, to enable them to better understand the experiences, identities and relationships of LGBTI people</w:t>
      </w:r>
      <w:r w:rsidR="00052870" w:rsidRPr="007821BF">
        <w:t>;</w:t>
      </w:r>
      <w:r w:rsidR="00B86226" w:rsidRPr="007821BF">
        <w:t xml:space="preserve"> respond to their experiences of intimate partner violence</w:t>
      </w:r>
      <w:r w:rsidR="00052870" w:rsidRPr="007821BF">
        <w:t>;</w:t>
      </w:r>
      <w:r w:rsidR="00B86226" w:rsidRPr="007821BF">
        <w:t xml:space="preserve"> and make appropriate referrals (</w:t>
      </w:r>
      <w:r w:rsidR="00C1111F">
        <w:t>Toesland, 2020</w:t>
      </w:r>
      <w:r w:rsidR="00B86226" w:rsidRPr="007821BF">
        <w:t xml:space="preserve">; </w:t>
      </w:r>
      <w:r w:rsidR="00BF57B7">
        <w:t>Li, 2020</w:t>
      </w:r>
      <w:r w:rsidR="00B86226" w:rsidRPr="007821BF">
        <w:t xml:space="preserve">; </w:t>
      </w:r>
      <w:r w:rsidR="00D973C4">
        <w:t>Witoslawski, 2020</w:t>
      </w:r>
      <w:r w:rsidR="00B86226" w:rsidRPr="007821BF">
        <w:t xml:space="preserve">; </w:t>
      </w:r>
      <w:r w:rsidR="00770866">
        <w:t>Stuart, 2018</w:t>
      </w:r>
      <w:r w:rsidR="00B86226" w:rsidRPr="007821BF">
        <w:t>)</w:t>
      </w:r>
      <w:r w:rsidR="00DA2559">
        <w:t xml:space="preserve">. </w:t>
      </w:r>
      <w:r w:rsidR="00B86226" w:rsidRPr="007821BF">
        <w:t>To this end</w:t>
      </w:r>
      <w:r w:rsidR="000B018C" w:rsidRPr="007821BF">
        <w:t>,</w:t>
      </w:r>
      <w:r w:rsidR="00B86226" w:rsidRPr="007821BF">
        <w:t xml:space="preserve"> </w:t>
      </w:r>
      <w:r w:rsidR="006751DD" w:rsidRPr="007821BF">
        <w:t>Drummond</w:t>
      </w:r>
      <w:r w:rsidR="00B86226" w:rsidRPr="007821BF">
        <w:t xml:space="preserve"> Street </w:t>
      </w:r>
      <w:r w:rsidR="006751DD" w:rsidRPr="007821BF">
        <w:t>Services</w:t>
      </w:r>
      <w:r w:rsidR="00B86226" w:rsidRPr="007821BF">
        <w:t xml:space="preserve"> conducts training for service providers</w:t>
      </w:r>
      <w:r w:rsidR="000B018C" w:rsidRPr="007821BF">
        <w:t>,</w:t>
      </w:r>
      <w:r w:rsidR="00B86226" w:rsidRPr="007821BF">
        <w:t xml:space="preserve"> with a ‘Rainbow Tick’ assigned to services as accreditation for </w:t>
      </w:r>
      <w:r w:rsidR="006751DD" w:rsidRPr="007821BF">
        <w:t>the</w:t>
      </w:r>
      <w:r w:rsidR="00B86226" w:rsidRPr="007821BF">
        <w:t xml:space="preserve"> completion of the program (</w:t>
      </w:r>
      <w:r w:rsidR="00C1111F">
        <w:t>Selinger-Morris, 2018</w:t>
      </w:r>
      <w:r w:rsidR="00B86226" w:rsidRPr="007821BF">
        <w:t xml:space="preserve">) – a measure which the </w:t>
      </w:r>
      <w:r w:rsidR="001D7C17" w:rsidRPr="007821BF">
        <w:t>2016 Royal Commission into Family violence</w:t>
      </w:r>
      <w:r w:rsidR="001D7C17">
        <w:t xml:space="preserve"> </w:t>
      </w:r>
      <w:r w:rsidR="00B86226" w:rsidRPr="007821BF">
        <w:t>proposed that all funded family violence service providers undertake.</w:t>
      </w:r>
    </w:p>
    <w:p w14:paraId="4DB8CE17" w14:textId="6C40F724" w:rsidR="00052870" w:rsidRPr="007821BF" w:rsidRDefault="00A406A4" w:rsidP="00AF21C8">
      <w:pPr>
        <w:spacing w:after="120" w:line="288" w:lineRule="auto"/>
        <w:jc w:val="both"/>
      </w:pPr>
      <w:r>
        <w:t>In addition to training, t</w:t>
      </w:r>
      <w:r w:rsidRPr="007821BF">
        <w:t xml:space="preserve">he Royal Commission </w:t>
      </w:r>
      <w:r>
        <w:t>endorsed</w:t>
      </w:r>
      <w:r w:rsidRPr="007821BF">
        <w:t xml:space="preserve"> increased funding for LGBTI services (Victorian Government 2016).</w:t>
      </w:r>
      <w:r>
        <w:t xml:space="preserve"> Related</w:t>
      </w:r>
      <w:r w:rsidR="00B3678A">
        <w:t xml:space="preserve"> proposed measures </w:t>
      </w:r>
      <w:r w:rsidR="00B86226" w:rsidRPr="007821BF">
        <w:t xml:space="preserve">include the provision of </w:t>
      </w:r>
      <w:r w:rsidR="006751DD" w:rsidRPr="007821BF">
        <w:t>shelters</w:t>
      </w:r>
      <w:r w:rsidR="00052870" w:rsidRPr="007821BF">
        <w:t xml:space="preserve">, </w:t>
      </w:r>
      <w:r w:rsidR="00B86226" w:rsidRPr="007821BF">
        <w:t>perpetrator programs</w:t>
      </w:r>
      <w:r w:rsidR="00052870" w:rsidRPr="007821BF">
        <w:t xml:space="preserve"> and other </w:t>
      </w:r>
      <w:r w:rsidR="009A1E7D" w:rsidRPr="007821BF">
        <w:t>specialized</w:t>
      </w:r>
      <w:r w:rsidR="00052870" w:rsidRPr="007821BF">
        <w:t xml:space="preserve"> services</w:t>
      </w:r>
      <w:r w:rsidR="00B86226" w:rsidRPr="007821BF">
        <w:t xml:space="preserve"> adapted to the needs of LGBTI people (</w:t>
      </w:r>
      <w:r w:rsidR="00C1111F">
        <w:t>Dept. Social Services, undated</w:t>
      </w:r>
      <w:r w:rsidR="00B86226" w:rsidRPr="007821BF">
        <w:t xml:space="preserve">; </w:t>
      </w:r>
      <w:r w:rsidR="003806E2">
        <w:t>Smith et al, 2014</w:t>
      </w:r>
      <w:r w:rsidR="00BF57B7">
        <w:t>; O’Halloran, undated</w:t>
      </w:r>
      <w:r w:rsidR="00B86226" w:rsidRPr="007821BF">
        <w:t>).</w:t>
      </w:r>
      <w:r w:rsidR="00B3678A">
        <w:t xml:space="preserve"> </w:t>
      </w:r>
    </w:p>
    <w:p w14:paraId="2C816276" w14:textId="383A2EFD" w:rsidR="00F654BA" w:rsidRDefault="00D84CE0" w:rsidP="00AF21C8">
      <w:pPr>
        <w:spacing w:after="60" w:line="288" w:lineRule="auto"/>
        <w:jc w:val="both"/>
        <w:rPr>
          <w:lang w:val="en-GB"/>
        </w:rPr>
      </w:pPr>
      <w:r>
        <w:t>Police training is also</w:t>
      </w:r>
      <w:r w:rsidR="00AF21C8">
        <w:t xml:space="preserve"> favored as a means </w:t>
      </w:r>
      <w:r w:rsidR="00B86226" w:rsidRPr="007821BF">
        <w:t xml:space="preserve">to build an </w:t>
      </w:r>
      <w:r w:rsidR="006751DD" w:rsidRPr="007821BF">
        <w:t>understanding</w:t>
      </w:r>
      <w:r w:rsidR="00B86226" w:rsidRPr="007821BF">
        <w:t xml:space="preserve"> of the experiences and needs of LGBTI individuals </w:t>
      </w:r>
      <w:r w:rsidR="00A406A4">
        <w:t>who report</w:t>
      </w:r>
      <w:r w:rsidR="00B86226" w:rsidRPr="007821BF">
        <w:t xml:space="preserve"> intimate partner violence (</w:t>
      </w:r>
      <w:r w:rsidR="00D973C4">
        <w:t>Witoslawski, 2020</w:t>
      </w:r>
      <w:r w:rsidR="00B86226" w:rsidRPr="007821BF">
        <w:t xml:space="preserve">; </w:t>
      </w:r>
      <w:r w:rsidR="00C1111F">
        <w:t>Centre for American Progress, 2011</w:t>
      </w:r>
      <w:r w:rsidR="00B86226" w:rsidRPr="007821BF">
        <w:t xml:space="preserve">; </w:t>
      </w:r>
      <w:r w:rsidR="00BF57B7">
        <w:lastRenderedPageBreak/>
        <w:t>Stuart, 2018</w:t>
      </w:r>
      <w:r w:rsidR="00B86226" w:rsidRPr="007821BF">
        <w:t xml:space="preserve">; </w:t>
      </w:r>
      <w:r w:rsidR="00BF57B7">
        <w:t>Li, 2020</w:t>
      </w:r>
      <w:r w:rsidR="00B86226" w:rsidRPr="007821BF">
        <w:t xml:space="preserve">; </w:t>
      </w:r>
      <w:r w:rsidR="00C1111F">
        <w:t>Toesland, 2020</w:t>
      </w:r>
      <w:r w:rsidR="00B86226" w:rsidRPr="007821BF">
        <w:t xml:space="preserve">). </w:t>
      </w:r>
      <w:r w:rsidR="00B3678A">
        <w:rPr>
          <w:lang w:val="en-GB"/>
        </w:rPr>
        <w:t>By 2020, V</w:t>
      </w:r>
      <w:r w:rsidR="00B07A7F" w:rsidRPr="00AF028C">
        <w:rPr>
          <w:lang w:val="en-GB"/>
        </w:rPr>
        <w:t>ictoria Police ha</w:t>
      </w:r>
      <w:r w:rsidR="00B3678A">
        <w:rPr>
          <w:lang w:val="en-GB"/>
        </w:rPr>
        <w:t>d</w:t>
      </w:r>
      <w:r w:rsidR="00B07A7F" w:rsidRPr="00AF028C">
        <w:rPr>
          <w:lang w:val="en-GB"/>
        </w:rPr>
        <w:t xml:space="preserve"> appointed </w:t>
      </w:r>
      <w:r w:rsidR="00B07A7F">
        <w:rPr>
          <w:lang w:val="en-GB"/>
        </w:rPr>
        <w:t>approximately 230</w:t>
      </w:r>
      <w:r w:rsidR="00B07A7F" w:rsidRPr="00AF028C">
        <w:rPr>
          <w:lang w:val="en-GB"/>
        </w:rPr>
        <w:t xml:space="preserve"> lesbian, gay, bisexual, transgender, intersex and queer liaison officers (GLLOs) </w:t>
      </w:r>
      <w:r w:rsidR="00B07A7F">
        <w:rPr>
          <w:lang w:val="en-GB"/>
        </w:rPr>
        <w:t>to foster</w:t>
      </w:r>
      <w:r w:rsidR="00B07A7F" w:rsidRPr="00AF028C">
        <w:rPr>
          <w:lang w:val="en-GB"/>
        </w:rPr>
        <w:t xml:space="preserve"> trust between police</w:t>
      </w:r>
      <w:r w:rsidR="00B07A7F">
        <w:rPr>
          <w:lang w:val="en-GB"/>
        </w:rPr>
        <w:t xml:space="preserve"> and LGBTI individuals, </w:t>
      </w:r>
      <w:r w:rsidR="00A406A4">
        <w:rPr>
          <w:lang w:val="en-GB"/>
        </w:rPr>
        <w:t>train and advise</w:t>
      </w:r>
      <w:r w:rsidR="00B07A7F">
        <w:rPr>
          <w:lang w:val="en-GB"/>
        </w:rPr>
        <w:t xml:space="preserve"> police, assist community members, participat</w:t>
      </w:r>
      <w:r w:rsidR="00F958BF">
        <w:rPr>
          <w:lang w:val="en-GB"/>
        </w:rPr>
        <w:t>e</w:t>
      </w:r>
      <w:r w:rsidR="00B07A7F">
        <w:rPr>
          <w:lang w:val="en-GB"/>
        </w:rPr>
        <w:t xml:space="preserve"> </w:t>
      </w:r>
      <w:r w:rsidR="00A406A4">
        <w:rPr>
          <w:lang w:val="en-GB"/>
        </w:rPr>
        <w:t>in</w:t>
      </w:r>
      <w:r w:rsidR="00B07A7F">
        <w:rPr>
          <w:lang w:val="en-GB"/>
        </w:rPr>
        <w:t xml:space="preserve"> events and</w:t>
      </w:r>
      <w:r w:rsidR="00F958BF">
        <w:rPr>
          <w:lang w:val="en-GB"/>
        </w:rPr>
        <w:t xml:space="preserve"> </w:t>
      </w:r>
      <w:r w:rsidR="00A406A4">
        <w:rPr>
          <w:lang w:val="en-GB"/>
        </w:rPr>
        <w:t>conduct</w:t>
      </w:r>
      <w:r w:rsidR="00B07A7F">
        <w:rPr>
          <w:lang w:val="en-GB"/>
        </w:rPr>
        <w:t xml:space="preserve"> presentations about police support for </w:t>
      </w:r>
      <w:r w:rsidR="00981D6E">
        <w:rPr>
          <w:lang w:val="en-GB"/>
        </w:rPr>
        <w:t xml:space="preserve">LGBTI </w:t>
      </w:r>
      <w:r w:rsidR="00A03D9C">
        <w:rPr>
          <w:lang w:val="en-GB"/>
        </w:rPr>
        <w:t>people</w:t>
      </w:r>
      <w:r w:rsidR="00B07A7F">
        <w:rPr>
          <w:lang w:val="en-GB"/>
        </w:rPr>
        <w:t xml:space="preserve"> (Victoria Police 2020). Such initiatives hold the prospect of </w:t>
      </w:r>
      <w:r w:rsidR="001D7C17">
        <w:rPr>
          <w:lang w:val="en-GB"/>
        </w:rPr>
        <w:t>encouraging</w:t>
      </w:r>
      <w:r w:rsidR="00B07A7F">
        <w:rPr>
          <w:lang w:val="en-GB"/>
        </w:rPr>
        <w:t xml:space="preserve"> LGBTI people </w:t>
      </w:r>
      <w:r w:rsidR="001D7C17">
        <w:rPr>
          <w:lang w:val="en-GB"/>
        </w:rPr>
        <w:t>to report</w:t>
      </w:r>
      <w:r w:rsidR="00B07A7F">
        <w:rPr>
          <w:lang w:val="en-GB"/>
        </w:rPr>
        <w:t xml:space="preserve"> intimate partner violence to the police.</w:t>
      </w:r>
    </w:p>
    <w:p w14:paraId="628E56A6" w14:textId="77777777" w:rsidR="00DF6129" w:rsidRPr="00555046" w:rsidRDefault="00DF6129" w:rsidP="00656B68">
      <w:pPr>
        <w:spacing w:before="60" w:after="40" w:line="240" w:lineRule="auto"/>
        <w:jc w:val="both"/>
        <w:rPr>
          <w:i/>
          <w:iCs/>
        </w:rPr>
      </w:pPr>
      <w:r w:rsidRPr="00555046">
        <w:rPr>
          <w:i/>
          <w:iCs/>
        </w:rPr>
        <w:t>General community education</w:t>
      </w:r>
    </w:p>
    <w:p w14:paraId="0FEA3CEF" w14:textId="65D2FBB5" w:rsidR="00F03418" w:rsidRDefault="002B2318" w:rsidP="002B2318">
      <w:pPr>
        <w:spacing w:after="0" w:line="288" w:lineRule="auto"/>
        <w:jc w:val="both"/>
        <w:rPr>
          <w:lang w:val="en-GB"/>
        </w:rPr>
      </w:pPr>
      <w:r>
        <w:rPr>
          <w:lang w:val="en-GB"/>
        </w:rPr>
        <w:t xml:space="preserve">Research points to a high prevalence of antagonistic attitudes </w:t>
      </w:r>
      <w:r w:rsidR="005575CE">
        <w:rPr>
          <w:lang w:val="en-GB"/>
        </w:rPr>
        <w:t>among the general community t</w:t>
      </w:r>
      <w:r>
        <w:rPr>
          <w:lang w:val="en-GB"/>
        </w:rPr>
        <w:t>o people of diverse gender and sexuality - one which varies widely among different geographic areas and segments of the community.</w:t>
      </w:r>
    </w:p>
    <w:p w14:paraId="32238E07" w14:textId="20F0C9C4" w:rsidR="00F03418" w:rsidRPr="00F03418" w:rsidRDefault="00F03418" w:rsidP="008A62F2">
      <w:pPr>
        <w:spacing w:after="0" w:line="240" w:lineRule="auto"/>
        <w:rPr>
          <w:color w:val="7F7F7F" w:themeColor="text1" w:themeTint="80"/>
          <w:sz w:val="20"/>
          <w:szCs w:val="20"/>
          <w:lang w:val="en-GB"/>
        </w:rPr>
      </w:pPr>
      <w:r w:rsidRPr="00F03418">
        <w:rPr>
          <w:color w:val="7F7F7F" w:themeColor="text1" w:themeTint="80"/>
          <w:sz w:val="20"/>
          <w:szCs w:val="20"/>
          <w:lang w:val="en-GB"/>
        </w:rPr>
        <w:t xml:space="preserve">Prevalence of the belief that homosexuality is immoral </w:t>
      </w:r>
      <w:r w:rsidR="006A600B">
        <w:rPr>
          <w:color w:val="7F7F7F" w:themeColor="text1" w:themeTint="80"/>
          <w:sz w:val="20"/>
          <w:szCs w:val="20"/>
          <w:lang w:val="en-GB"/>
        </w:rPr>
        <w:t xml:space="preserve">by age, educational </w:t>
      </w:r>
      <w:proofErr w:type="gramStart"/>
      <w:r w:rsidR="006A600B">
        <w:rPr>
          <w:color w:val="7F7F7F" w:themeColor="text1" w:themeTint="80"/>
          <w:sz w:val="20"/>
          <w:szCs w:val="20"/>
          <w:lang w:val="en-GB"/>
        </w:rPr>
        <w:t>attainment</w:t>
      </w:r>
      <w:proofErr w:type="gramEnd"/>
      <w:r w:rsidR="006A600B">
        <w:rPr>
          <w:color w:val="7F7F7F" w:themeColor="text1" w:themeTint="80"/>
          <w:sz w:val="20"/>
          <w:szCs w:val="20"/>
          <w:lang w:val="en-GB"/>
        </w:rPr>
        <w:t xml:space="preserve"> and socioeconomic status</w:t>
      </w:r>
    </w:p>
    <w:p w14:paraId="5C03A906" w14:textId="2B295F14" w:rsidR="005575CE" w:rsidRDefault="008A62F2" w:rsidP="002B2318">
      <w:pPr>
        <w:spacing w:after="0" w:line="288" w:lineRule="auto"/>
        <w:jc w:val="both"/>
        <w:rPr>
          <w:lang w:val="en-GB"/>
        </w:rPr>
      </w:pPr>
      <w:r>
        <w:rPr>
          <w:noProof/>
          <w:lang w:val="en-GB"/>
        </w:rPr>
        <w:drawing>
          <wp:anchor distT="0" distB="0" distL="114300" distR="114300" simplePos="0" relativeHeight="251659264" behindDoc="0" locked="0" layoutInCell="1" allowOverlap="1" wp14:anchorId="3F01C488" wp14:editId="702BBD9B">
            <wp:simplePos x="0" y="0"/>
            <wp:positionH relativeFrom="margin">
              <wp:posOffset>27305</wp:posOffset>
            </wp:positionH>
            <wp:positionV relativeFrom="paragraph">
              <wp:posOffset>5080</wp:posOffset>
            </wp:positionV>
            <wp:extent cx="3252470" cy="2228850"/>
            <wp:effectExtent l="0" t="0" r="508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20">
                      <a:extLst>
                        <a:ext uri="{28A0092B-C50C-407E-A947-70E740481C1C}">
                          <a14:useLocalDpi xmlns:a14="http://schemas.microsoft.com/office/drawing/2010/main" val="0"/>
                        </a:ext>
                      </a:extLst>
                    </a:blip>
                    <a:srcRect l="1512" t="6008" r="6977"/>
                    <a:stretch/>
                  </pic:blipFill>
                  <pic:spPr bwMode="auto">
                    <a:xfrm>
                      <a:off x="0" y="0"/>
                      <a:ext cx="3252470" cy="22288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07765">
        <w:rPr>
          <w:lang w:val="en-GB"/>
        </w:rPr>
        <w:t>A survey</w:t>
      </w:r>
      <w:r w:rsidR="002B2318">
        <w:rPr>
          <w:lang w:val="en-GB"/>
        </w:rPr>
        <w:t xml:space="preserve"> of 25,000 Australians aged 14 or more</w:t>
      </w:r>
      <w:r w:rsidR="00DA2559">
        <w:rPr>
          <w:lang w:val="en-GB"/>
        </w:rPr>
        <w:t xml:space="preserve"> </w:t>
      </w:r>
      <w:r w:rsidR="002B2318">
        <w:rPr>
          <w:lang w:val="en-GB"/>
        </w:rPr>
        <w:t xml:space="preserve">found that 35% </w:t>
      </w:r>
      <w:r w:rsidR="00107765">
        <w:rPr>
          <w:lang w:val="en-GB"/>
        </w:rPr>
        <w:t xml:space="preserve">(including 43% of men and 27% of women) </w:t>
      </w:r>
      <w:r w:rsidR="002B2318">
        <w:rPr>
          <w:lang w:val="en-GB"/>
        </w:rPr>
        <w:t xml:space="preserve">believed homosexuality is immoral. Such </w:t>
      </w:r>
      <w:r w:rsidR="00107765">
        <w:rPr>
          <w:lang w:val="en-GB"/>
        </w:rPr>
        <w:t>views</w:t>
      </w:r>
      <w:r w:rsidR="002B2318">
        <w:rPr>
          <w:lang w:val="en-GB"/>
        </w:rPr>
        <w:t xml:space="preserve"> were most prevalent among </w:t>
      </w:r>
      <w:r w:rsidR="00360BA7">
        <w:rPr>
          <w:lang w:val="en-GB"/>
        </w:rPr>
        <w:t xml:space="preserve">those who were </w:t>
      </w:r>
      <w:r w:rsidR="002B2318">
        <w:rPr>
          <w:lang w:val="en-GB"/>
        </w:rPr>
        <w:t xml:space="preserve">older, </w:t>
      </w:r>
      <w:r w:rsidR="00360BA7">
        <w:rPr>
          <w:lang w:val="en-GB"/>
        </w:rPr>
        <w:t>had limited formal education, were socioeconomically disadvantaged and, in Melbourne, highest in outer suburbs and lowest in the inner-metropolitan areas</w:t>
      </w:r>
      <w:r w:rsidR="00360BA7">
        <w:rPr>
          <w:rStyle w:val="FootnoteReference"/>
          <w:lang w:val="en-GB"/>
        </w:rPr>
        <w:footnoteReference w:id="5"/>
      </w:r>
      <w:r w:rsidR="002B2318">
        <w:rPr>
          <w:lang w:val="en-GB"/>
        </w:rPr>
        <w:t>. (Flood and Hamilton, 2005)</w:t>
      </w:r>
      <w:r w:rsidR="003A35C3">
        <w:rPr>
          <w:lang w:val="en-GB"/>
        </w:rPr>
        <w:t xml:space="preserve"> </w:t>
      </w:r>
      <w:r w:rsidR="005575CE">
        <w:rPr>
          <w:lang w:val="en-GB"/>
        </w:rPr>
        <w:t xml:space="preserve">(Diagram, </w:t>
      </w:r>
      <w:r w:rsidR="00A406A4">
        <w:rPr>
          <w:lang w:val="en-GB"/>
        </w:rPr>
        <w:t>left</w:t>
      </w:r>
      <w:r w:rsidR="005575CE">
        <w:rPr>
          <w:lang w:val="en-GB"/>
        </w:rPr>
        <w:t xml:space="preserve">). </w:t>
      </w:r>
    </w:p>
    <w:p w14:paraId="4E355E06" w14:textId="0F8CAFA5" w:rsidR="002B2318" w:rsidRDefault="001E19AF" w:rsidP="002B2318">
      <w:pPr>
        <w:spacing w:after="0" w:line="288" w:lineRule="auto"/>
        <w:jc w:val="both"/>
        <w:rPr>
          <w:lang w:val="en-GB"/>
        </w:rPr>
      </w:pPr>
      <w:r>
        <w:rPr>
          <w:lang w:val="en-GB"/>
        </w:rPr>
        <w:t>Encouragingly</w:t>
      </w:r>
      <w:r w:rsidR="00A406A4">
        <w:rPr>
          <w:lang w:val="en-GB"/>
        </w:rPr>
        <w:t xml:space="preserve"> however,</w:t>
      </w:r>
      <w:r w:rsidR="005575CE">
        <w:rPr>
          <w:lang w:val="en-GB"/>
        </w:rPr>
        <w:t xml:space="preserve"> </w:t>
      </w:r>
      <w:r w:rsidR="003A35C3">
        <w:rPr>
          <w:lang w:val="en-GB"/>
        </w:rPr>
        <w:t xml:space="preserve">McCann (2019) presents findings from the </w:t>
      </w:r>
      <w:r w:rsidR="003A35C3" w:rsidRPr="003A35C3">
        <w:rPr>
          <w:lang w:val="en-GB"/>
        </w:rPr>
        <w:t>2017 Household, Income and Labour Dynamics in Australia (HILDA) Survey</w:t>
      </w:r>
      <w:r w:rsidR="003A35C3">
        <w:rPr>
          <w:lang w:val="en-GB"/>
        </w:rPr>
        <w:t xml:space="preserve"> which show that the proportion of Australians </w:t>
      </w:r>
      <w:r w:rsidR="00DA2559">
        <w:rPr>
          <w:lang w:val="en-GB"/>
        </w:rPr>
        <w:t xml:space="preserve">who </w:t>
      </w:r>
      <w:r w:rsidR="007534CA">
        <w:rPr>
          <w:lang w:val="en-GB"/>
        </w:rPr>
        <w:t xml:space="preserve">are </w:t>
      </w:r>
      <w:r w:rsidR="003A35C3">
        <w:rPr>
          <w:lang w:val="en-GB"/>
        </w:rPr>
        <w:t>supportive of the rights of LGBTI people ha</w:t>
      </w:r>
      <w:r w:rsidR="00A406A4">
        <w:rPr>
          <w:lang w:val="en-GB"/>
        </w:rPr>
        <w:t>d</w:t>
      </w:r>
      <w:r w:rsidR="003A35C3">
        <w:rPr>
          <w:lang w:val="en-GB"/>
        </w:rPr>
        <w:t xml:space="preserve"> risen in the decade to 2015.</w:t>
      </w:r>
      <w:r w:rsidR="003A35C3">
        <w:rPr>
          <w:rStyle w:val="FootnoteReference"/>
          <w:lang w:val="en-GB"/>
        </w:rPr>
        <w:footnoteReference w:id="6"/>
      </w:r>
    </w:p>
    <w:p w14:paraId="099F11FF" w14:textId="4DA17E9D" w:rsidR="00DF6129" w:rsidRPr="007821BF" w:rsidRDefault="00DF6129" w:rsidP="002B2318">
      <w:pPr>
        <w:spacing w:after="0" w:line="288" w:lineRule="auto"/>
        <w:jc w:val="both"/>
      </w:pPr>
      <w:r w:rsidRPr="007821BF">
        <w:t>Community education to challenge stereotypes, improve awareness and dispel antagonism is seen as essential to address homophobic and violen</w:t>
      </w:r>
      <w:r w:rsidR="00052870" w:rsidRPr="007821BF">
        <w:t>t</w:t>
      </w:r>
      <w:r w:rsidRPr="007821BF">
        <w:t xml:space="preserve"> behavior, and thereby alleviate violence within relationships (</w:t>
      </w:r>
      <w:r w:rsidR="00D973C4">
        <w:t>Witoslawski, 2020</w:t>
      </w:r>
      <w:r w:rsidRPr="007821BF">
        <w:t xml:space="preserve">; </w:t>
      </w:r>
      <w:r w:rsidR="00D973C4">
        <w:t>National LGBT Health Alliance, 2009</w:t>
      </w:r>
      <w:r w:rsidRPr="007821BF">
        <w:t xml:space="preserve">; </w:t>
      </w:r>
      <w:r w:rsidR="00D973C4">
        <w:t>Loft, 2016</w:t>
      </w:r>
      <w:r w:rsidRPr="007821BF">
        <w:t xml:space="preserve">; </w:t>
      </w:r>
      <w:r w:rsidR="00230B66">
        <w:t>Australian Human Rights Commission, 2013</w:t>
      </w:r>
      <w:r w:rsidRPr="007821BF">
        <w:t>). In planning such social changes</w:t>
      </w:r>
      <w:r w:rsidR="00382378" w:rsidRPr="007821BF">
        <w:t>,</w:t>
      </w:r>
      <w:r w:rsidRPr="007821BF">
        <w:t xml:space="preserve"> </w:t>
      </w:r>
      <w:r w:rsidR="00382378" w:rsidRPr="007821BF">
        <w:t>including any</w:t>
      </w:r>
      <w:r w:rsidRPr="007821BF">
        <w:t xml:space="preserve"> accompanying programs or legislative reform, </w:t>
      </w:r>
      <w:r w:rsidR="00052870" w:rsidRPr="007821BF">
        <w:t>LGBTI</w:t>
      </w:r>
      <w:r w:rsidRPr="007821BF">
        <w:t xml:space="preserve"> people should </w:t>
      </w:r>
      <w:r w:rsidR="00052870" w:rsidRPr="007821BF">
        <w:t>be i</w:t>
      </w:r>
      <w:r w:rsidRPr="007821BF">
        <w:t xml:space="preserve">ncluded </w:t>
      </w:r>
      <w:r w:rsidR="00052870" w:rsidRPr="007821BF">
        <w:t>from</w:t>
      </w:r>
      <w:r w:rsidRPr="007821BF">
        <w:t xml:space="preserve"> </w:t>
      </w:r>
      <w:r w:rsidR="00CD2373">
        <w:t>the</w:t>
      </w:r>
      <w:r w:rsidRPr="007821BF">
        <w:t xml:space="preserve"> conception </w:t>
      </w:r>
      <w:r w:rsidR="00CD2373">
        <w:t xml:space="preserve">of such initiatives, </w:t>
      </w:r>
      <w:r w:rsidRPr="007821BF">
        <w:t xml:space="preserve">with acknowledgement </w:t>
      </w:r>
      <w:r w:rsidR="00382378" w:rsidRPr="007821BF">
        <w:t xml:space="preserve">and representation </w:t>
      </w:r>
      <w:r w:rsidRPr="007821BF">
        <w:t>of the</w:t>
      </w:r>
      <w:r w:rsidR="00052870" w:rsidRPr="007821BF">
        <w:t>ir</w:t>
      </w:r>
      <w:r w:rsidRPr="007821BF">
        <w:t xml:space="preserve"> divers</w:t>
      </w:r>
      <w:r w:rsidR="00052870" w:rsidRPr="007821BF">
        <w:t>e</w:t>
      </w:r>
      <w:r w:rsidRPr="007821BF">
        <w:t xml:space="preserve"> identity, sexuality, life experiences</w:t>
      </w:r>
      <w:r w:rsidR="00382378" w:rsidRPr="007821BF">
        <w:t>,</w:t>
      </w:r>
      <w:r w:rsidRPr="007821BF">
        <w:t xml:space="preserve"> and </w:t>
      </w:r>
      <w:r w:rsidR="00382378" w:rsidRPr="007821BF">
        <w:t>consideration of</w:t>
      </w:r>
      <w:r w:rsidRPr="007821BF">
        <w:t xml:space="preserve"> factors such as age, ability, education and socioeconomic status, cultural background</w:t>
      </w:r>
      <w:r w:rsidR="00052870" w:rsidRPr="007821BF">
        <w:t xml:space="preserve"> and</w:t>
      </w:r>
      <w:r w:rsidRPr="007821BF">
        <w:t xml:space="preserve"> heritage. </w:t>
      </w:r>
      <w:r w:rsidR="00052870" w:rsidRPr="007821BF">
        <w:t>Accordingly, t</w:t>
      </w:r>
      <w:r w:rsidRPr="007821BF">
        <w:t xml:space="preserve">he 2016 Royal Commission into </w:t>
      </w:r>
      <w:r w:rsidR="003C7DCC">
        <w:t>F</w:t>
      </w:r>
      <w:r w:rsidRPr="007821BF">
        <w:t xml:space="preserve">amily </w:t>
      </w:r>
      <w:r w:rsidR="003C7DCC">
        <w:t>V</w:t>
      </w:r>
      <w:r w:rsidRPr="007821BF">
        <w:t xml:space="preserve">iolence urged that an LGBTI taskforce </w:t>
      </w:r>
      <w:r w:rsidR="00DA2559">
        <w:t>be formed to</w:t>
      </w:r>
      <w:r w:rsidRPr="007821BF">
        <w:t xml:space="preserve"> shape service development, </w:t>
      </w:r>
      <w:r w:rsidR="001D7C17">
        <w:t>guide</w:t>
      </w:r>
      <w:r w:rsidR="00382378" w:rsidRPr="007821BF">
        <w:t xml:space="preserve"> </w:t>
      </w:r>
      <w:r w:rsidRPr="007821BF">
        <w:t>broader approaches to prevention and</w:t>
      </w:r>
      <w:r w:rsidR="00382378" w:rsidRPr="007821BF">
        <w:t xml:space="preserve"> identify</w:t>
      </w:r>
      <w:r w:rsidRPr="007821BF">
        <w:t xml:space="preserve"> future avenues of research (Victorian Government, 2016).</w:t>
      </w:r>
    </w:p>
    <w:p w14:paraId="4AE20026" w14:textId="32560398" w:rsidR="000D0C80" w:rsidRPr="007821BF" w:rsidRDefault="00DF6129" w:rsidP="007821BF">
      <w:pPr>
        <w:spacing w:after="0" w:line="288" w:lineRule="auto"/>
        <w:jc w:val="both"/>
      </w:pPr>
      <w:r w:rsidRPr="007821BF">
        <w:t>Efforts to address deeper causes of discrimination against LGBTI individuals,</w:t>
      </w:r>
      <w:r w:rsidR="00382378" w:rsidRPr="007821BF">
        <w:t xml:space="preserve"> a</w:t>
      </w:r>
      <w:r w:rsidR="00052870" w:rsidRPr="007821BF">
        <w:t>nd</w:t>
      </w:r>
      <w:r w:rsidRPr="007821BF">
        <w:t xml:space="preserve"> curtail intimate partner violence, are proposed by </w:t>
      </w:r>
      <w:r w:rsidR="003810DB">
        <w:t>Our Watch</w:t>
      </w:r>
      <w:r w:rsidR="00DD3846">
        <w:t xml:space="preserve"> (</w:t>
      </w:r>
      <w:r w:rsidR="003810DB">
        <w:t>2017</w:t>
      </w:r>
      <w:r w:rsidR="00DD3846">
        <w:t>)</w:t>
      </w:r>
      <w:r w:rsidRPr="007821BF">
        <w:t xml:space="preserve"> </w:t>
      </w:r>
      <w:r w:rsidR="00DA2559">
        <w:t>which</w:t>
      </w:r>
      <w:r w:rsidRPr="007821BF">
        <w:t xml:space="preserve"> observes that “…the focus of prevention initiatives must go beyond…individual identity characteristics…to the social structure, practices and norms which discriminate against them”.</w:t>
      </w:r>
    </w:p>
    <w:p w14:paraId="7B76C0A1" w14:textId="724B7B42" w:rsidR="00CE6328" w:rsidRDefault="00DF6129" w:rsidP="007821BF">
      <w:pPr>
        <w:spacing w:after="0" w:line="288" w:lineRule="auto"/>
        <w:jc w:val="both"/>
      </w:pPr>
      <w:r w:rsidRPr="007821BF">
        <w:t xml:space="preserve">The </w:t>
      </w:r>
      <w:r w:rsidR="00052870" w:rsidRPr="007821BF">
        <w:t>g</w:t>
      </w:r>
      <w:r w:rsidRPr="007821BF">
        <w:t>ender and minority stress frameworks</w:t>
      </w:r>
      <w:r w:rsidR="00FD3391">
        <w:t>,</w:t>
      </w:r>
      <w:r w:rsidRPr="007821BF">
        <w:t xml:space="preserve"> outlined earlier, </w:t>
      </w:r>
      <w:r w:rsidR="000D0C80" w:rsidRPr="007821BF">
        <w:t>point to</w:t>
      </w:r>
      <w:r w:rsidRPr="007821BF">
        <w:t xml:space="preserve"> homophobic attitudes, and traditional notions about masculine identity</w:t>
      </w:r>
      <w:r w:rsidR="00DA2559">
        <w:t xml:space="preserve"> and entitlement</w:t>
      </w:r>
      <w:r w:rsidRPr="007821BF">
        <w:t>, as foundation</w:t>
      </w:r>
      <w:r w:rsidR="00FD3391">
        <w:t>s</w:t>
      </w:r>
      <w:r w:rsidR="000D0C80" w:rsidRPr="007821BF">
        <w:t xml:space="preserve"> of</w:t>
      </w:r>
      <w:r w:rsidR="003C7DCC">
        <w:t xml:space="preserve"> much of</w:t>
      </w:r>
      <w:r w:rsidR="000D0C80" w:rsidRPr="007821BF">
        <w:t xml:space="preserve"> the intimate partner violence </w:t>
      </w:r>
      <w:r w:rsidR="003C7DCC">
        <w:t>within LGBTI relationships</w:t>
      </w:r>
      <w:r w:rsidRPr="007821BF">
        <w:t xml:space="preserve">, suggesting </w:t>
      </w:r>
      <w:r w:rsidR="00052870" w:rsidRPr="007821BF">
        <w:t>these as among</w:t>
      </w:r>
      <w:r w:rsidRPr="007821BF">
        <w:t xml:space="preserve"> </w:t>
      </w:r>
      <w:r w:rsidR="00CD2373">
        <w:t xml:space="preserve">the </w:t>
      </w:r>
      <w:r w:rsidRPr="007821BF">
        <w:t xml:space="preserve">issues </w:t>
      </w:r>
      <w:r w:rsidR="00FD3391">
        <w:t>which may be</w:t>
      </w:r>
      <w:r w:rsidRPr="007821BF">
        <w:t xml:space="preserve"> addressed </w:t>
      </w:r>
      <w:r w:rsidR="00FD3391">
        <w:t>by</w:t>
      </w:r>
      <w:r w:rsidRPr="007821BF">
        <w:t xml:space="preserve"> community programs and movements.</w:t>
      </w:r>
    </w:p>
    <w:p w14:paraId="27C13D7A" w14:textId="32A0D2E8" w:rsidR="00656B68" w:rsidRPr="002C6E96" w:rsidRDefault="00656B68" w:rsidP="00656B68">
      <w:pPr>
        <w:spacing w:after="0" w:line="288" w:lineRule="auto"/>
        <w:jc w:val="center"/>
        <w:rPr>
          <w:rFonts w:ascii="Garamond" w:hAnsi="Garamond"/>
          <w:color w:val="000000" w:themeColor="text1"/>
          <w:sz w:val="36"/>
          <w:szCs w:val="36"/>
        </w:rPr>
      </w:pPr>
      <w:r>
        <w:rPr>
          <w:rFonts w:ascii="Garamond" w:hAnsi="Garamond"/>
          <w:color w:val="000000" w:themeColor="text1"/>
          <w:sz w:val="36"/>
          <w:szCs w:val="36"/>
        </w:rPr>
        <w:lastRenderedPageBreak/>
        <w:t>APPENDIX</w:t>
      </w:r>
    </w:p>
    <w:p w14:paraId="21D877B8" w14:textId="0F34BA7C" w:rsidR="00CE6328" w:rsidRPr="00EC5C21" w:rsidRDefault="0035242B" w:rsidP="00F63A44">
      <w:pPr>
        <w:spacing w:after="60" w:line="240" w:lineRule="auto"/>
        <w:jc w:val="both"/>
        <w:rPr>
          <w:b/>
          <w:bCs/>
          <w:color w:val="1F3864" w:themeColor="accent1" w:themeShade="80"/>
          <w:lang w:val="en-AU"/>
        </w:rPr>
      </w:pPr>
      <w:r w:rsidRPr="00EC5C21">
        <w:rPr>
          <w:b/>
          <w:bCs/>
          <w:color w:val="1F3864" w:themeColor="accent1" w:themeShade="80"/>
          <w:lang w:val="en-AU"/>
        </w:rPr>
        <w:t>Common terms used to Describe differences in Gender Identity, Sexual Orientation and Biological Sex</w:t>
      </w:r>
    </w:p>
    <w:p w14:paraId="798BFCDA" w14:textId="77777777" w:rsidR="0045547E" w:rsidRDefault="0045547E" w:rsidP="0045547E">
      <w:pPr>
        <w:spacing w:after="0" w:line="288" w:lineRule="auto"/>
        <w:jc w:val="both"/>
      </w:pPr>
      <w:r>
        <w:t>A selection of terms is used here to refer to categories of biological sex, sexual identity and sexual orientation:</w:t>
      </w:r>
    </w:p>
    <w:p w14:paraId="0A703920" w14:textId="77777777" w:rsidR="0045547E" w:rsidRDefault="0045547E" w:rsidP="0045547E">
      <w:pPr>
        <w:tabs>
          <w:tab w:val="left" w:pos="1843"/>
        </w:tabs>
        <w:spacing w:after="0" w:line="288" w:lineRule="auto"/>
        <w:ind w:left="1843" w:hanging="1843"/>
        <w:jc w:val="both"/>
      </w:pPr>
      <w:r w:rsidRPr="00254F6C">
        <w:rPr>
          <w:i/>
          <w:iCs/>
        </w:rPr>
        <w:t>Biological sex</w:t>
      </w:r>
      <w:r>
        <w:t xml:space="preserve">: </w:t>
      </w:r>
      <w:r>
        <w:tab/>
        <w:t>‘intersex’ - people whose biological sex is not distinctly male or female.</w:t>
      </w:r>
    </w:p>
    <w:p w14:paraId="0E4C32E8" w14:textId="77777777" w:rsidR="0045547E" w:rsidRDefault="0045547E" w:rsidP="0045547E">
      <w:pPr>
        <w:tabs>
          <w:tab w:val="left" w:pos="1843"/>
        </w:tabs>
        <w:spacing w:after="0" w:line="288" w:lineRule="auto"/>
        <w:ind w:left="1843" w:hanging="1843"/>
        <w:jc w:val="both"/>
      </w:pPr>
      <w:r w:rsidRPr="00254F6C">
        <w:rPr>
          <w:i/>
          <w:iCs/>
        </w:rPr>
        <w:t>Sexual orientation</w:t>
      </w:r>
      <w:r>
        <w:t>:</w:t>
      </w:r>
      <w:r>
        <w:tab/>
        <w:t>‘lesbian’ and ‘gay men’ - people who are homosexual, being sexually attracted chiefly to people of the same biological sex.</w:t>
      </w:r>
    </w:p>
    <w:p w14:paraId="1C499D30" w14:textId="77777777" w:rsidR="0045547E" w:rsidRDefault="0045547E" w:rsidP="0045547E">
      <w:pPr>
        <w:tabs>
          <w:tab w:val="left" w:pos="1843"/>
        </w:tabs>
        <w:spacing w:after="0" w:line="288" w:lineRule="auto"/>
        <w:ind w:left="1843" w:hanging="1843"/>
        <w:jc w:val="both"/>
      </w:pPr>
      <w:r>
        <w:tab/>
        <w:t>‘bisexual’ - people attracted to both women and men.</w:t>
      </w:r>
    </w:p>
    <w:p w14:paraId="4F200909" w14:textId="407DC969" w:rsidR="0045547E" w:rsidRDefault="0045547E" w:rsidP="0045547E">
      <w:pPr>
        <w:tabs>
          <w:tab w:val="left" w:pos="1843"/>
        </w:tabs>
        <w:spacing w:after="0" w:line="288" w:lineRule="auto"/>
        <w:ind w:left="1843" w:hanging="1843"/>
        <w:jc w:val="both"/>
      </w:pPr>
      <w:r w:rsidRPr="00254F6C">
        <w:rPr>
          <w:i/>
          <w:iCs/>
        </w:rPr>
        <w:t>Gender</w:t>
      </w:r>
      <w:r>
        <w:t>:</w:t>
      </w:r>
      <w:r>
        <w:tab/>
        <w:t xml:space="preserve">‘diverse gender identity’ - those who perceive their </w:t>
      </w:r>
      <w:r w:rsidRPr="00AC27C3">
        <w:t>identi</w:t>
      </w:r>
      <w:r>
        <w:t>t</w:t>
      </w:r>
      <w:r w:rsidRPr="00AC27C3">
        <w:t xml:space="preserve">y as neither </w:t>
      </w:r>
      <w:r>
        <w:t>female nor male</w:t>
      </w:r>
      <w:r w:rsidRPr="00AC27C3">
        <w:t xml:space="preserve">, both, </w:t>
      </w:r>
      <w:proofErr w:type="gramStart"/>
      <w:r w:rsidRPr="00AC27C3">
        <w:t>or</w:t>
      </w:r>
      <w:proofErr w:type="gramEnd"/>
      <w:r w:rsidRPr="00AC27C3">
        <w:t xml:space="preserve"> having no gender</w:t>
      </w:r>
      <w:r>
        <w:t>.</w:t>
      </w:r>
    </w:p>
    <w:p w14:paraId="1B078CDE" w14:textId="234AC00C" w:rsidR="0045547E" w:rsidRDefault="0045547E" w:rsidP="0045547E">
      <w:pPr>
        <w:tabs>
          <w:tab w:val="left" w:pos="1843"/>
        </w:tabs>
        <w:spacing w:after="0" w:line="288" w:lineRule="auto"/>
        <w:ind w:left="1843" w:hanging="1843"/>
        <w:jc w:val="both"/>
      </w:pPr>
      <w:r>
        <w:tab/>
        <w:t>‘transgender’ or ‘trans’ - people whose gender identity does not match their biological sex; though the term may also be used to encompass a range of gender identities.</w:t>
      </w:r>
    </w:p>
    <w:p w14:paraId="0BB3D806" w14:textId="77777777" w:rsidR="0045547E" w:rsidRDefault="0045547E" w:rsidP="0045547E">
      <w:pPr>
        <w:spacing w:after="0" w:line="288" w:lineRule="auto"/>
        <w:jc w:val="both"/>
      </w:pPr>
      <w:r>
        <w:t>Finally, terms such as ‘homophobia’, ‘biphobia’, ‘transphobia’ and others refer to prejudicial and antagonistic attitudes towards LGBTI people.</w:t>
      </w:r>
    </w:p>
    <w:p w14:paraId="517448A5" w14:textId="3C78309F" w:rsidR="000916E1" w:rsidRDefault="0045547E" w:rsidP="007821BF">
      <w:pPr>
        <w:spacing w:after="0" w:line="288" w:lineRule="auto"/>
        <w:jc w:val="both"/>
      </w:pPr>
      <w:r>
        <w:t xml:space="preserve">The accompanying diagram </w:t>
      </w:r>
      <w:r w:rsidR="009319E2">
        <w:t>illustrates</w:t>
      </w:r>
      <w:r>
        <w:t xml:space="preserve"> </w:t>
      </w:r>
      <w:r w:rsidR="009319E2">
        <w:t>these</w:t>
      </w:r>
      <w:r>
        <w:t xml:space="preserve"> broad categories of gender identity, sexual orientation and biological sex. </w:t>
      </w:r>
      <w:r w:rsidR="00F81352">
        <w:t>H</w:t>
      </w:r>
      <w:r w:rsidR="006342E7">
        <w:t xml:space="preserve">owever, </w:t>
      </w:r>
      <w:r w:rsidR="00751545">
        <w:t xml:space="preserve">a variety of </w:t>
      </w:r>
      <w:r w:rsidR="00A1372A">
        <w:t>other</w:t>
      </w:r>
      <w:r w:rsidR="00751545">
        <w:t xml:space="preserve"> terms are </w:t>
      </w:r>
      <w:r w:rsidR="00F81352">
        <w:t>in common use,</w:t>
      </w:r>
      <w:r w:rsidR="00751545">
        <w:t xml:space="preserve"> </w:t>
      </w:r>
      <w:r w:rsidR="00F81352">
        <w:t>reflecting</w:t>
      </w:r>
      <w:r w:rsidR="004B47EA">
        <w:t xml:space="preserve"> the breadth</w:t>
      </w:r>
      <w:r w:rsidR="00751545">
        <w:t xml:space="preserve"> of gender</w:t>
      </w:r>
      <w:r w:rsidR="006342E7">
        <w:t xml:space="preserve">, </w:t>
      </w:r>
      <w:r w:rsidR="00751545">
        <w:t>sexual diversity</w:t>
      </w:r>
      <w:r w:rsidR="006342E7">
        <w:t xml:space="preserve"> and personal identity </w:t>
      </w:r>
      <w:r w:rsidR="00751545">
        <w:t>among</w:t>
      </w:r>
      <w:r w:rsidR="00E343B3">
        <w:t xml:space="preserve"> all</w:t>
      </w:r>
      <w:r w:rsidR="00751545">
        <w:t xml:space="preserve"> </w:t>
      </w:r>
      <w:r w:rsidR="006342E7">
        <w:t>people</w:t>
      </w:r>
      <w:r w:rsidR="0035242B">
        <w:t>.</w:t>
      </w:r>
    </w:p>
    <w:p w14:paraId="324790B4" w14:textId="66B6DAA6" w:rsidR="006342E7" w:rsidRDefault="00596C01" w:rsidP="003F6D45">
      <w:pPr>
        <w:spacing w:after="0" w:line="288" w:lineRule="auto"/>
        <w:jc w:val="center"/>
      </w:pPr>
      <w:r w:rsidRPr="00596C01">
        <w:rPr>
          <w:noProof/>
        </w:rPr>
        <w:drawing>
          <wp:inline distT="0" distB="0" distL="0" distR="0" wp14:anchorId="61BDE95E" wp14:editId="282E875D">
            <wp:extent cx="5849354" cy="3876649"/>
            <wp:effectExtent l="0" t="4127"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1" cstate="print">
                      <a:extLst>
                        <a:ext uri="{28A0092B-C50C-407E-A947-70E740481C1C}">
                          <a14:useLocalDpi xmlns:a14="http://schemas.microsoft.com/office/drawing/2010/main" val="0"/>
                        </a:ext>
                      </a:extLst>
                    </a:blip>
                    <a:srcRect r="1129"/>
                    <a:stretch/>
                  </pic:blipFill>
                  <pic:spPr bwMode="auto">
                    <a:xfrm rot="16200000">
                      <a:off x="0" y="0"/>
                      <a:ext cx="5929257" cy="3929604"/>
                    </a:xfrm>
                    <a:prstGeom prst="rect">
                      <a:avLst/>
                    </a:prstGeom>
                    <a:noFill/>
                    <a:ln>
                      <a:noFill/>
                    </a:ln>
                    <a:extLst>
                      <a:ext uri="{53640926-AAD7-44D8-BBD7-CCE9431645EC}">
                        <a14:shadowObscured xmlns:a14="http://schemas.microsoft.com/office/drawing/2010/main"/>
                      </a:ext>
                    </a:extLst>
                  </pic:spPr>
                </pic:pic>
              </a:graphicData>
            </a:graphic>
          </wp:inline>
        </w:drawing>
      </w:r>
    </w:p>
    <w:p w14:paraId="77C55DF1" w14:textId="07A2E7FE" w:rsidR="0041728A" w:rsidRPr="002C6E96" w:rsidRDefault="002C6E96" w:rsidP="002C6E96">
      <w:pPr>
        <w:spacing w:after="0" w:line="288" w:lineRule="auto"/>
        <w:jc w:val="center"/>
        <w:rPr>
          <w:rFonts w:ascii="Garamond" w:hAnsi="Garamond"/>
          <w:color w:val="000000" w:themeColor="text1"/>
          <w:sz w:val="36"/>
          <w:szCs w:val="36"/>
        </w:rPr>
      </w:pPr>
      <w:r w:rsidRPr="002C6E96">
        <w:rPr>
          <w:rFonts w:ascii="Garamond" w:hAnsi="Garamond"/>
          <w:color w:val="000000" w:themeColor="text1"/>
          <w:sz w:val="36"/>
          <w:szCs w:val="36"/>
        </w:rPr>
        <w:lastRenderedPageBreak/>
        <w:t>BIBLIOGRAPHY</w:t>
      </w:r>
    </w:p>
    <w:p w14:paraId="53EFB9BA" w14:textId="30EB864A" w:rsidR="005358C4" w:rsidRPr="005358C4" w:rsidRDefault="005358C4" w:rsidP="005358C4">
      <w:pPr>
        <w:spacing w:before="120" w:after="60" w:line="240" w:lineRule="auto"/>
        <w:jc w:val="both"/>
        <w:rPr>
          <w:sz w:val="20"/>
          <w:szCs w:val="20"/>
        </w:rPr>
      </w:pPr>
      <w:r w:rsidRPr="005358C4">
        <w:rPr>
          <w:sz w:val="20"/>
          <w:szCs w:val="20"/>
        </w:rPr>
        <w:t xml:space="preserve">Arnold, M. and Rosenstrietch, G. (undated). </w:t>
      </w:r>
      <w:r w:rsidRPr="005358C4">
        <w:rPr>
          <w:sz w:val="20"/>
          <w:szCs w:val="20"/>
          <w:u w:val="single"/>
        </w:rPr>
        <w:t>The mental health of sexuality, sex and gender diverse Australians</w:t>
      </w:r>
      <w:r w:rsidRPr="005358C4">
        <w:rPr>
          <w:sz w:val="20"/>
          <w:szCs w:val="20"/>
        </w:rPr>
        <w:t>. UnitingCare West, National LGBTI Health Alliance</w:t>
      </w:r>
    </w:p>
    <w:p w14:paraId="2EB4F35B" w14:textId="01AA744B" w:rsidR="005358C4" w:rsidRPr="009815A0" w:rsidRDefault="005358C4" w:rsidP="005358C4">
      <w:pPr>
        <w:spacing w:before="120" w:after="60" w:line="26" w:lineRule="atLeast"/>
        <w:jc w:val="both"/>
        <w:rPr>
          <w:color w:val="000000" w:themeColor="text1"/>
          <w:sz w:val="20"/>
          <w:szCs w:val="20"/>
        </w:rPr>
      </w:pPr>
      <w:r w:rsidRPr="009815A0">
        <w:rPr>
          <w:color w:val="000000" w:themeColor="text1"/>
          <w:sz w:val="20"/>
          <w:szCs w:val="20"/>
        </w:rPr>
        <w:t xml:space="preserve">Asian-Pacific Institute on Gender-based Violence (undated). </w:t>
      </w:r>
      <w:r w:rsidRPr="002C6E96">
        <w:rPr>
          <w:color w:val="000000" w:themeColor="text1"/>
          <w:sz w:val="20"/>
          <w:szCs w:val="20"/>
          <w:u w:val="single"/>
        </w:rPr>
        <w:t>LGBTQ Intimate Partner Violence</w:t>
      </w:r>
      <w:r w:rsidRPr="009815A0">
        <w:rPr>
          <w:color w:val="000000" w:themeColor="text1"/>
          <w:sz w:val="20"/>
          <w:szCs w:val="20"/>
        </w:rPr>
        <w:t>.</w:t>
      </w:r>
    </w:p>
    <w:p w14:paraId="6EE8BB47" w14:textId="77777777" w:rsidR="005358C4" w:rsidRPr="009815A0" w:rsidRDefault="005358C4" w:rsidP="005358C4">
      <w:pPr>
        <w:spacing w:before="120" w:after="60" w:line="26" w:lineRule="atLeast"/>
        <w:jc w:val="both"/>
        <w:rPr>
          <w:color w:val="000000" w:themeColor="text1"/>
          <w:sz w:val="20"/>
          <w:szCs w:val="20"/>
        </w:rPr>
      </w:pPr>
      <w:r w:rsidRPr="009815A0">
        <w:rPr>
          <w:color w:val="000000" w:themeColor="text1"/>
          <w:sz w:val="20"/>
          <w:szCs w:val="20"/>
        </w:rPr>
        <w:t xml:space="preserve">Australian Human Rights Commission (2013). </w:t>
      </w:r>
      <w:r w:rsidRPr="002C6E96">
        <w:rPr>
          <w:color w:val="000000" w:themeColor="text1"/>
          <w:sz w:val="20"/>
          <w:szCs w:val="20"/>
          <w:u w:val="single"/>
        </w:rPr>
        <w:t>Lesbian, Gay, Bisexual, Trans and Intersex Equality</w:t>
      </w:r>
      <w:r w:rsidRPr="009815A0">
        <w:rPr>
          <w:color w:val="000000" w:themeColor="text1"/>
          <w:sz w:val="20"/>
          <w:szCs w:val="20"/>
        </w:rPr>
        <w:t>.</w:t>
      </w:r>
    </w:p>
    <w:p w14:paraId="71658F19" w14:textId="77777777" w:rsidR="005358C4" w:rsidRPr="009815A0" w:rsidRDefault="005358C4" w:rsidP="005358C4">
      <w:pPr>
        <w:spacing w:before="120" w:after="60" w:line="26" w:lineRule="atLeast"/>
        <w:jc w:val="both"/>
        <w:rPr>
          <w:color w:val="000000" w:themeColor="text1"/>
          <w:sz w:val="20"/>
          <w:szCs w:val="20"/>
        </w:rPr>
      </w:pPr>
      <w:r w:rsidRPr="009815A0">
        <w:rPr>
          <w:color w:val="000000" w:themeColor="text1"/>
          <w:sz w:val="20"/>
          <w:szCs w:val="20"/>
        </w:rPr>
        <w:t xml:space="preserve">Australian Institute of Health and Welfare (2017). </w:t>
      </w:r>
      <w:r w:rsidRPr="009815A0">
        <w:rPr>
          <w:color w:val="000000" w:themeColor="text1"/>
          <w:sz w:val="20"/>
          <w:szCs w:val="20"/>
          <w:u w:val="single"/>
        </w:rPr>
        <w:t>National Drug Strategy Household Survey 2016</w:t>
      </w:r>
      <w:r w:rsidRPr="009815A0">
        <w:rPr>
          <w:color w:val="000000" w:themeColor="text1"/>
          <w:sz w:val="20"/>
          <w:szCs w:val="20"/>
        </w:rPr>
        <w:t>: detailed findings. AIHW</w:t>
      </w:r>
    </w:p>
    <w:p w14:paraId="602F991B" w14:textId="77777777" w:rsidR="005358C4" w:rsidRPr="009815A0" w:rsidRDefault="005358C4" w:rsidP="005358C4">
      <w:pPr>
        <w:spacing w:before="120" w:after="60" w:line="26" w:lineRule="atLeast"/>
        <w:jc w:val="both"/>
        <w:rPr>
          <w:color w:val="000000" w:themeColor="text1"/>
          <w:sz w:val="20"/>
          <w:szCs w:val="20"/>
        </w:rPr>
      </w:pPr>
      <w:r w:rsidRPr="009815A0">
        <w:rPr>
          <w:color w:val="000000" w:themeColor="text1"/>
          <w:sz w:val="20"/>
          <w:szCs w:val="20"/>
        </w:rPr>
        <w:t xml:space="preserve">Australian Institute of Health and Welfare (2019). </w:t>
      </w:r>
      <w:r w:rsidRPr="009815A0">
        <w:rPr>
          <w:color w:val="000000" w:themeColor="text1"/>
          <w:sz w:val="20"/>
          <w:szCs w:val="20"/>
          <w:u w:val="single"/>
        </w:rPr>
        <w:t>Australia’s Health 2018</w:t>
      </w:r>
      <w:r w:rsidRPr="009815A0">
        <w:rPr>
          <w:color w:val="000000" w:themeColor="text1"/>
          <w:sz w:val="20"/>
          <w:szCs w:val="20"/>
        </w:rPr>
        <w:t>. AIHW</w:t>
      </w:r>
    </w:p>
    <w:p w14:paraId="1D1197B9" w14:textId="77777777" w:rsidR="005358C4" w:rsidRPr="009815A0" w:rsidRDefault="005358C4" w:rsidP="005358C4">
      <w:pPr>
        <w:spacing w:before="120" w:after="60" w:line="26" w:lineRule="atLeast"/>
        <w:jc w:val="both"/>
        <w:rPr>
          <w:color w:val="000000" w:themeColor="text1"/>
          <w:sz w:val="20"/>
          <w:szCs w:val="20"/>
        </w:rPr>
      </w:pPr>
      <w:r w:rsidRPr="009815A0">
        <w:rPr>
          <w:color w:val="000000" w:themeColor="text1"/>
          <w:sz w:val="20"/>
          <w:szCs w:val="20"/>
        </w:rPr>
        <w:t xml:space="preserve">Australian Institute of Health and Welfare (2020). </w:t>
      </w:r>
      <w:r w:rsidRPr="009815A0">
        <w:rPr>
          <w:color w:val="000000" w:themeColor="text1"/>
          <w:sz w:val="20"/>
          <w:szCs w:val="20"/>
          <w:u w:val="single"/>
        </w:rPr>
        <w:t>National Drug Strategy Household Survey 2019</w:t>
      </w:r>
      <w:r w:rsidRPr="009815A0">
        <w:rPr>
          <w:color w:val="000000" w:themeColor="text1"/>
          <w:sz w:val="20"/>
          <w:szCs w:val="20"/>
        </w:rPr>
        <w:t>: detailed findings. AIHW</w:t>
      </w:r>
    </w:p>
    <w:p w14:paraId="46F651CC" w14:textId="77777777" w:rsidR="005358C4" w:rsidRPr="009815A0" w:rsidRDefault="005358C4" w:rsidP="005358C4">
      <w:pPr>
        <w:spacing w:before="120" w:after="60" w:line="26" w:lineRule="atLeast"/>
        <w:jc w:val="both"/>
        <w:rPr>
          <w:color w:val="000000" w:themeColor="text1"/>
          <w:sz w:val="20"/>
          <w:szCs w:val="20"/>
          <w:lang w:val="en-GB"/>
        </w:rPr>
      </w:pPr>
      <w:r w:rsidRPr="009815A0">
        <w:rPr>
          <w:color w:val="000000" w:themeColor="text1"/>
          <w:sz w:val="20"/>
          <w:szCs w:val="20"/>
          <w:lang w:val="en-GB"/>
        </w:rPr>
        <w:t xml:space="preserve">Australian Psychological Society (undated). </w:t>
      </w:r>
      <w:r w:rsidRPr="009815A0">
        <w:rPr>
          <w:color w:val="000000" w:themeColor="text1"/>
          <w:sz w:val="20"/>
          <w:szCs w:val="20"/>
          <w:u w:val="single"/>
          <w:lang w:val="en-GB"/>
        </w:rPr>
        <w:t>What issues might a child who is transgender or gender diverse face?</w:t>
      </w:r>
    </w:p>
    <w:p w14:paraId="72ACE4C9" w14:textId="77777777" w:rsidR="005358C4" w:rsidRPr="009815A0" w:rsidRDefault="005358C4" w:rsidP="005358C4">
      <w:pPr>
        <w:spacing w:before="120" w:after="60" w:line="26" w:lineRule="atLeast"/>
        <w:jc w:val="both"/>
        <w:rPr>
          <w:rFonts w:cstheme="minorHAnsi"/>
          <w:color w:val="000000" w:themeColor="text1"/>
          <w:sz w:val="20"/>
          <w:szCs w:val="20"/>
        </w:rPr>
      </w:pPr>
      <w:r w:rsidRPr="009815A0">
        <w:rPr>
          <w:rFonts w:cstheme="minorHAnsi"/>
          <w:color w:val="000000" w:themeColor="text1"/>
          <w:sz w:val="20"/>
          <w:szCs w:val="20"/>
        </w:rPr>
        <w:t xml:space="preserve">Bagshaw, D., Chung, D., Couch, M., Lilburn, S. and Wadham, B. (1999). </w:t>
      </w:r>
      <w:r w:rsidRPr="009815A0">
        <w:rPr>
          <w:rFonts w:cstheme="minorHAnsi"/>
          <w:color w:val="000000" w:themeColor="text1"/>
          <w:sz w:val="20"/>
          <w:szCs w:val="20"/>
          <w:u w:val="single"/>
        </w:rPr>
        <w:t>Reshaping Responses to Domestic Violence: Executive Summary</w:t>
      </w:r>
      <w:r w:rsidRPr="009815A0">
        <w:rPr>
          <w:rFonts w:cstheme="minorHAnsi"/>
          <w:color w:val="000000" w:themeColor="text1"/>
          <w:sz w:val="20"/>
          <w:szCs w:val="20"/>
        </w:rPr>
        <w:t>. University of South Australia, Adelaide</w:t>
      </w:r>
    </w:p>
    <w:p w14:paraId="6DD1DF83" w14:textId="6EC235DC" w:rsidR="005358C4" w:rsidRPr="009815A0" w:rsidRDefault="005358C4" w:rsidP="005358C4">
      <w:pPr>
        <w:spacing w:before="120" w:after="60" w:line="26" w:lineRule="atLeast"/>
        <w:jc w:val="both"/>
        <w:rPr>
          <w:color w:val="000000" w:themeColor="text1"/>
          <w:sz w:val="20"/>
          <w:szCs w:val="20"/>
        </w:rPr>
      </w:pPr>
      <w:r w:rsidRPr="009815A0">
        <w:rPr>
          <w:color w:val="000000" w:themeColor="text1"/>
          <w:sz w:val="20"/>
          <w:szCs w:val="20"/>
        </w:rPr>
        <w:t xml:space="preserve">Balsam, K.F. and Szymanski, D.M. (2005). Relationship Quality and Domestic Violence in Women’s Same-sex Relationships: the role of minority stress. </w:t>
      </w:r>
      <w:r w:rsidRPr="002C6E96">
        <w:rPr>
          <w:color w:val="000000" w:themeColor="text1"/>
          <w:sz w:val="20"/>
          <w:szCs w:val="20"/>
          <w:u w:val="single"/>
        </w:rPr>
        <w:t>Psychology of Women Quarterly</w:t>
      </w:r>
      <w:r>
        <w:rPr>
          <w:color w:val="000000" w:themeColor="text1"/>
          <w:sz w:val="20"/>
          <w:szCs w:val="20"/>
        </w:rPr>
        <w:t>.</w:t>
      </w:r>
      <w:r w:rsidRPr="009815A0">
        <w:rPr>
          <w:color w:val="000000" w:themeColor="text1"/>
          <w:sz w:val="20"/>
          <w:szCs w:val="20"/>
        </w:rPr>
        <w:t xml:space="preserve"> Vol 29 (2005), pp. 258-269</w:t>
      </w:r>
    </w:p>
    <w:p w14:paraId="2778A565" w14:textId="77777777" w:rsidR="005358C4" w:rsidRPr="009815A0" w:rsidRDefault="005358C4" w:rsidP="005358C4">
      <w:pPr>
        <w:spacing w:before="120" w:after="60" w:line="26" w:lineRule="atLeast"/>
        <w:jc w:val="both"/>
        <w:rPr>
          <w:color w:val="000000" w:themeColor="text1"/>
          <w:sz w:val="20"/>
          <w:szCs w:val="20"/>
        </w:rPr>
      </w:pPr>
      <w:r w:rsidRPr="009815A0">
        <w:rPr>
          <w:color w:val="000000" w:themeColor="text1"/>
          <w:sz w:val="20"/>
          <w:szCs w:val="20"/>
        </w:rPr>
        <w:t xml:space="preserve">Barret, B.J. (2015). </w:t>
      </w:r>
      <w:r w:rsidRPr="002C6E96">
        <w:rPr>
          <w:color w:val="000000" w:themeColor="text1"/>
          <w:sz w:val="20"/>
          <w:szCs w:val="20"/>
          <w:u w:val="single"/>
        </w:rPr>
        <w:t>Domestic Violence in the LGBT Community</w:t>
      </w:r>
      <w:r w:rsidRPr="009815A0">
        <w:rPr>
          <w:color w:val="000000" w:themeColor="text1"/>
          <w:sz w:val="20"/>
          <w:szCs w:val="20"/>
        </w:rPr>
        <w:t>. Encyclopedia of Social Work.</w:t>
      </w:r>
    </w:p>
    <w:p w14:paraId="5A6DD075" w14:textId="2572C929" w:rsidR="005358C4" w:rsidRPr="009815A0" w:rsidRDefault="005358C4" w:rsidP="005358C4">
      <w:pPr>
        <w:spacing w:before="120" w:after="60" w:line="26" w:lineRule="atLeast"/>
        <w:jc w:val="both"/>
        <w:rPr>
          <w:color w:val="000000" w:themeColor="text1"/>
          <w:sz w:val="20"/>
          <w:szCs w:val="20"/>
        </w:rPr>
      </w:pPr>
      <w:r w:rsidRPr="009815A0">
        <w:rPr>
          <w:color w:val="000000" w:themeColor="text1"/>
          <w:sz w:val="20"/>
          <w:szCs w:val="20"/>
        </w:rPr>
        <w:t>Breiding, M.J., Chen, J.</w:t>
      </w:r>
      <w:r w:rsidR="00375321">
        <w:rPr>
          <w:color w:val="000000" w:themeColor="text1"/>
          <w:sz w:val="20"/>
          <w:szCs w:val="20"/>
        </w:rPr>
        <w:t xml:space="preserve"> and</w:t>
      </w:r>
      <w:r w:rsidRPr="009815A0">
        <w:rPr>
          <w:color w:val="000000" w:themeColor="text1"/>
          <w:sz w:val="20"/>
          <w:szCs w:val="20"/>
        </w:rPr>
        <w:t xml:space="preserve"> Walters, M.L. (2013). </w:t>
      </w:r>
      <w:r w:rsidRPr="002C6E96">
        <w:rPr>
          <w:color w:val="000000" w:themeColor="text1"/>
          <w:sz w:val="20"/>
          <w:szCs w:val="20"/>
          <w:u w:val="single"/>
        </w:rPr>
        <w:t>The National Intimate Partner and Sexual Violence Survey: 2010 findings of victimization by sexual orientation</w:t>
      </w:r>
      <w:r w:rsidRPr="009815A0">
        <w:rPr>
          <w:color w:val="000000" w:themeColor="text1"/>
          <w:sz w:val="20"/>
          <w:szCs w:val="20"/>
        </w:rPr>
        <w:t>. Atlanta, Georgia: National Centre for Injury Prevention and Control</w:t>
      </w:r>
    </w:p>
    <w:p w14:paraId="41E2FE42" w14:textId="77777777" w:rsidR="005358C4" w:rsidRPr="009815A0" w:rsidRDefault="005358C4" w:rsidP="005358C4">
      <w:pPr>
        <w:spacing w:before="120" w:after="60" w:line="26" w:lineRule="atLeast"/>
        <w:jc w:val="both"/>
        <w:rPr>
          <w:color w:val="000000" w:themeColor="text1"/>
          <w:sz w:val="20"/>
          <w:szCs w:val="20"/>
        </w:rPr>
      </w:pPr>
      <w:r w:rsidRPr="009815A0">
        <w:rPr>
          <w:color w:val="000000" w:themeColor="text1"/>
          <w:sz w:val="20"/>
          <w:szCs w:val="20"/>
        </w:rPr>
        <w:t xml:space="preserve">Brown, E. (2017A). </w:t>
      </w:r>
      <w:r w:rsidRPr="002C6E96">
        <w:rPr>
          <w:color w:val="000000" w:themeColor="text1"/>
          <w:sz w:val="20"/>
          <w:szCs w:val="20"/>
          <w:u w:val="single"/>
        </w:rPr>
        <w:t>ALIGHN Guide: Gender norms, LGBTQI issues and development</w:t>
      </w:r>
      <w:r w:rsidRPr="009815A0">
        <w:rPr>
          <w:color w:val="000000" w:themeColor="text1"/>
          <w:sz w:val="20"/>
          <w:szCs w:val="20"/>
        </w:rPr>
        <w:t>. ALIGN – Advancing Learning and Innovation on Gender Norms</w:t>
      </w:r>
    </w:p>
    <w:p w14:paraId="3C40F714" w14:textId="77777777" w:rsidR="005358C4" w:rsidRPr="009815A0" w:rsidRDefault="005358C4" w:rsidP="005358C4">
      <w:pPr>
        <w:spacing w:before="120" w:after="60" w:line="26" w:lineRule="atLeast"/>
        <w:jc w:val="both"/>
        <w:rPr>
          <w:color w:val="000000" w:themeColor="text1"/>
          <w:sz w:val="20"/>
          <w:szCs w:val="20"/>
        </w:rPr>
      </w:pPr>
      <w:r w:rsidRPr="009815A0">
        <w:rPr>
          <w:color w:val="000000" w:themeColor="text1"/>
          <w:sz w:val="20"/>
          <w:szCs w:val="20"/>
        </w:rPr>
        <w:t xml:space="preserve">Brown, E. (2017B). </w:t>
      </w:r>
      <w:r w:rsidRPr="002C6E96">
        <w:rPr>
          <w:color w:val="000000" w:themeColor="text1"/>
          <w:sz w:val="20"/>
          <w:szCs w:val="20"/>
          <w:u w:val="single"/>
        </w:rPr>
        <w:t>ALIGHN Guide: Gender norms, LGBTQI issues and development – Executive summary and terminology</w:t>
      </w:r>
      <w:r w:rsidRPr="009815A0">
        <w:rPr>
          <w:color w:val="000000" w:themeColor="text1"/>
          <w:sz w:val="20"/>
          <w:szCs w:val="20"/>
        </w:rPr>
        <w:t>. ALIGN – Advancing Learning and Innovation on Gender Norms</w:t>
      </w:r>
    </w:p>
    <w:p w14:paraId="23539096" w14:textId="677153D8" w:rsidR="005358C4" w:rsidRPr="009815A0" w:rsidRDefault="005358C4" w:rsidP="005358C4">
      <w:pPr>
        <w:spacing w:before="120" w:after="60" w:line="26" w:lineRule="atLeast"/>
        <w:jc w:val="both"/>
        <w:rPr>
          <w:color w:val="000000" w:themeColor="text1"/>
          <w:sz w:val="20"/>
          <w:szCs w:val="20"/>
          <w:lang w:val="en-GB"/>
        </w:rPr>
      </w:pPr>
      <w:r w:rsidRPr="009815A0">
        <w:rPr>
          <w:color w:val="000000" w:themeColor="text1"/>
          <w:sz w:val="20"/>
          <w:szCs w:val="20"/>
          <w:lang w:val="en-GB"/>
        </w:rPr>
        <w:t xml:space="preserve">Brown, T.N. and Herman, J.L. (2015). </w:t>
      </w:r>
      <w:r w:rsidRPr="009815A0">
        <w:rPr>
          <w:color w:val="000000" w:themeColor="text1"/>
          <w:sz w:val="20"/>
          <w:szCs w:val="20"/>
          <w:u w:val="single"/>
          <w:lang w:val="en-GB"/>
        </w:rPr>
        <w:t>Intimate Partner Violence and Sexual Abuse Among LGBT People</w:t>
      </w:r>
      <w:r w:rsidRPr="009815A0">
        <w:rPr>
          <w:color w:val="000000" w:themeColor="text1"/>
          <w:sz w:val="20"/>
          <w:szCs w:val="20"/>
          <w:lang w:val="en-GB"/>
        </w:rPr>
        <w:t>. UCLA School of Law</w:t>
      </w:r>
    </w:p>
    <w:p w14:paraId="57DE878F" w14:textId="77777777" w:rsidR="005358C4" w:rsidRPr="009815A0" w:rsidRDefault="005358C4" w:rsidP="005358C4">
      <w:pPr>
        <w:spacing w:before="120" w:after="60" w:line="26" w:lineRule="atLeast"/>
        <w:jc w:val="both"/>
        <w:rPr>
          <w:color w:val="000000" w:themeColor="text1"/>
          <w:sz w:val="20"/>
          <w:szCs w:val="20"/>
        </w:rPr>
      </w:pPr>
      <w:r w:rsidRPr="009815A0">
        <w:rPr>
          <w:color w:val="000000" w:themeColor="text1"/>
          <w:sz w:val="20"/>
          <w:szCs w:val="20"/>
        </w:rPr>
        <w:t xml:space="preserve">Campo, M. and Tayton, S. (2015). </w:t>
      </w:r>
      <w:r w:rsidRPr="002C6E96">
        <w:rPr>
          <w:color w:val="000000" w:themeColor="text1"/>
          <w:sz w:val="20"/>
          <w:szCs w:val="20"/>
          <w:u w:val="single"/>
        </w:rPr>
        <w:t>Intimate Partner Violence in Lesbian, Gay, Bisexual, Trans, Intersex and Queer Communities</w:t>
      </w:r>
      <w:r w:rsidRPr="009815A0">
        <w:rPr>
          <w:color w:val="000000" w:themeColor="text1"/>
          <w:sz w:val="20"/>
          <w:szCs w:val="20"/>
        </w:rPr>
        <w:t>. Australian Institute of Family Studies.</w:t>
      </w:r>
    </w:p>
    <w:p w14:paraId="0F035437" w14:textId="61B7E959" w:rsidR="005358C4" w:rsidRPr="009815A0" w:rsidRDefault="005358C4" w:rsidP="005358C4">
      <w:pPr>
        <w:spacing w:before="120" w:after="60" w:line="26" w:lineRule="atLeast"/>
        <w:jc w:val="both"/>
        <w:rPr>
          <w:color w:val="000000" w:themeColor="text1"/>
          <w:sz w:val="20"/>
          <w:szCs w:val="20"/>
          <w:lang w:val="en-GB"/>
        </w:rPr>
      </w:pPr>
      <w:r w:rsidRPr="009815A0">
        <w:rPr>
          <w:color w:val="000000" w:themeColor="text1"/>
          <w:sz w:val="20"/>
          <w:szCs w:val="20"/>
          <w:lang w:val="en-GB"/>
        </w:rPr>
        <w:t xml:space="preserve">Carman, M., Fairchild, J., Parsons, M., Farrugia, C., Power, J. and Bourne, A. </w:t>
      </w:r>
      <w:r w:rsidR="008B2795">
        <w:rPr>
          <w:color w:val="000000" w:themeColor="text1"/>
          <w:sz w:val="20"/>
          <w:szCs w:val="20"/>
          <w:lang w:val="en-GB"/>
        </w:rPr>
        <w:t xml:space="preserve">(2020). </w:t>
      </w:r>
      <w:r w:rsidRPr="009815A0">
        <w:rPr>
          <w:color w:val="000000" w:themeColor="text1"/>
          <w:sz w:val="20"/>
          <w:szCs w:val="20"/>
          <w:u w:val="single"/>
          <w:lang w:val="en-GB"/>
        </w:rPr>
        <w:t>Pride in Prevention: A guide to primary prevention of family violence experienced by LGBTIQ communitie</w:t>
      </w:r>
      <w:r w:rsidRPr="009815A0">
        <w:rPr>
          <w:color w:val="000000" w:themeColor="text1"/>
          <w:sz w:val="20"/>
          <w:szCs w:val="20"/>
          <w:lang w:val="en-GB"/>
        </w:rPr>
        <w:t>s. Rainbow Health Victoria</w:t>
      </w:r>
    </w:p>
    <w:p w14:paraId="797F8B65" w14:textId="5E07864C" w:rsidR="005358C4" w:rsidRPr="009815A0" w:rsidRDefault="005358C4" w:rsidP="005358C4">
      <w:pPr>
        <w:spacing w:before="120" w:after="60" w:line="26" w:lineRule="atLeast"/>
        <w:jc w:val="both"/>
        <w:rPr>
          <w:color w:val="000000" w:themeColor="text1"/>
          <w:sz w:val="20"/>
          <w:szCs w:val="20"/>
        </w:rPr>
      </w:pPr>
      <w:r w:rsidRPr="009815A0">
        <w:rPr>
          <w:color w:val="000000" w:themeColor="text1"/>
          <w:sz w:val="20"/>
          <w:szCs w:val="20"/>
        </w:rPr>
        <w:t xml:space="preserve">Centre for American Progress (2011). </w:t>
      </w:r>
      <w:r w:rsidRPr="002C6E96">
        <w:rPr>
          <w:color w:val="000000" w:themeColor="text1"/>
          <w:sz w:val="20"/>
          <w:szCs w:val="20"/>
          <w:u w:val="single"/>
        </w:rPr>
        <w:t>Domestic Violence in the LGBT Community</w:t>
      </w:r>
    </w:p>
    <w:p w14:paraId="2D139D66" w14:textId="45126BE6" w:rsidR="005358C4" w:rsidRPr="009815A0" w:rsidRDefault="005358C4" w:rsidP="005358C4">
      <w:pPr>
        <w:spacing w:before="120" w:after="60" w:line="26" w:lineRule="atLeast"/>
        <w:jc w:val="both"/>
        <w:rPr>
          <w:color w:val="000000" w:themeColor="text1"/>
          <w:sz w:val="20"/>
          <w:szCs w:val="20"/>
        </w:rPr>
      </w:pPr>
      <w:r w:rsidRPr="009815A0">
        <w:rPr>
          <w:color w:val="000000" w:themeColor="text1"/>
          <w:sz w:val="20"/>
          <w:szCs w:val="20"/>
        </w:rPr>
        <w:t>Clark, T. C., Lucassen, M. F. G., Bullen, P., Denny, S. J., Fleming, T. M., Robinson, E. M</w:t>
      </w:r>
      <w:r w:rsidR="00375321">
        <w:rPr>
          <w:color w:val="000000" w:themeColor="text1"/>
          <w:sz w:val="20"/>
          <w:szCs w:val="20"/>
        </w:rPr>
        <w:t>. and</w:t>
      </w:r>
      <w:r w:rsidRPr="009815A0">
        <w:rPr>
          <w:color w:val="000000" w:themeColor="text1"/>
          <w:sz w:val="20"/>
          <w:szCs w:val="20"/>
        </w:rPr>
        <w:t xml:space="preserve"> Rossen, F. V. (2014). The Health and Well-Being of Transgender High School Students: results from the New Zealand Adolescent Health Survey. </w:t>
      </w:r>
      <w:r w:rsidRPr="009815A0">
        <w:rPr>
          <w:color w:val="000000" w:themeColor="text1"/>
          <w:sz w:val="20"/>
          <w:szCs w:val="20"/>
          <w:u w:val="single"/>
        </w:rPr>
        <w:t>Journal of adolescent health</w:t>
      </w:r>
      <w:r w:rsidRPr="009815A0">
        <w:rPr>
          <w:color w:val="000000" w:themeColor="text1"/>
          <w:sz w:val="20"/>
          <w:szCs w:val="20"/>
        </w:rPr>
        <w:t>. Vol. 55, No.1, pp. 93-99</w:t>
      </w:r>
    </w:p>
    <w:p w14:paraId="648A27B2" w14:textId="7FB857A6" w:rsidR="005358C4" w:rsidRPr="005358C4" w:rsidRDefault="005358C4" w:rsidP="005358C4">
      <w:pPr>
        <w:spacing w:before="120" w:after="60" w:line="240" w:lineRule="auto"/>
        <w:jc w:val="both"/>
        <w:rPr>
          <w:sz w:val="20"/>
          <w:szCs w:val="20"/>
        </w:rPr>
      </w:pPr>
      <w:r w:rsidRPr="005358C4">
        <w:rPr>
          <w:sz w:val="20"/>
          <w:szCs w:val="20"/>
        </w:rPr>
        <w:t xml:space="preserve">Cobaw Community Health (undated). </w:t>
      </w:r>
      <w:r w:rsidRPr="005358C4">
        <w:rPr>
          <w:sz w:val="20"/>
          <w:szCs w:val="20"/>
          <w:u w:val="single"/>
        </w:rPr>
        <w:t>LGBTI and Mental Health in Rural Victoria</w:t>
      </w:r>
    </w:p>
    <w:p w14:paraId="2321C91C" w14:textId="77777777" w:rsidR="005358C4" w:rsidRPr="009815A0" w:rsidRDefault="005358C4" w:rsidP="005358C4">
      <w:pPr>
        <w:spacing w:before="120" w:after="60" w:line="26" w:lineRule="atLeast"/>
        <w:jc w:val="both"/>
        <w:rPr>
          <w:rFonts w:cstheme="minorHAnsi"/>
          <w:color w:val="000000" w:themeColor="text1"/>
          <w:sz w:val="20"/>
          <w:szCs w:val="20"/>
        </w:rPr>
      </w:pPr>
      <w:r w:rsidRPr="009815A0">
        <w:rPr>
          <w:rFonts w:cstheme="minorHAnsi"/>
          <w:color w:val="000000" w:themeColor="text1"/>
          <w:sz w:val="20"/>
          <w:szCs w:val="20"/>
        </w:rPr>
        <w:t xml:space="preserve">Crime Prevention Victoria (2002). </w:t>
      </w:r>
      <w:r w:rsidRPr="002C6E96">
        <w:rPr>
          <w:rFonts w:cstheme="minorHAnsi"/>
          <w:color w:val="000000" w:themeColor="text1"/>
          <w:sz w:val="20"/>
          <w:szCs w:val="20"/>
          <w:u w:val="single"/>
        </w:rPr>
        <w:t>Safer Streets and Homes: a crime and violence prevention strategy for Victoria, 2002-2005</w:t>
      </w:r>
      <w:r w:rsidRPr="009815A0">
        <w:rPr>
          <w:rFonts w:cstheme="minorHAnsi"/>
          <w:color w:val="000000" w:themeColor="text1"/>
          <w:sz w:val="20"/>
          <w:szCs w:val="20"/>
        </w:rPr>
        <w:t>. Department of Justice, Melbourne</w:t>
      </w:r>
    </w:p>
    <w:p w14:paraId="622CEACC" w14:textId="1D713F6B" w:rsidR="005358C4" w:rsidRPr="009815A0" w:rsidRDefault="005358C4" w:rsidP="005358C4">
      <w:pPr>
        <w:spacing w:before="120" w:after="60" w:line="26" w:lineRule="atLeast"/>
        <w:jc w:val="both"/>
        <w:rPr>
          <w:color w:val="000000" w:themeColor="text1"/>
          <w:sz w:val="20"/>
          <w:szCs w:val="20"/>
          <w:lang w:val="en-GB"/>
        </w:rPr>
      </w:pPr>
      <w:r w:rsidRPr="009815A0">
        <w:rPr>
          <w:color w:val="000000" w:themeColor="text1"/>
          <w:sz w:val="20"/>
          <w:szCs w:val="20"/>
          <w:lang w:val="en-GB"/>
        </w:rPr>
        <w:t xml:space="preserve">Department of Education and Training (2020). </w:t>
      </w:r>
      <w:r w:rsidRPr="009815A0">
        <w:rPr>
          <w:color w:val="000000" w:themeColor="text1"/>
          <w:sz w:val="20"/>
          <w:szCs w:val="20"/>
          <w:u w:val="single"/>
          <w:lang w:val="en-GB"/>
        </w:rPr>
        <w:t>Safe Schools. Victorian Government</w:t>
      </w:r>
      <w:r w:rsidRPr="009815A0">
        <w:rPr>
          <w:color w:val="000000" w:themeColor="text1"/>
          <w:sz w:val="20"/>
          <w:szCs w:val="20"/>
          <w:lang w:val="en-GB"/>
        </w:rPr>
        <w:t xml:space="preserve">. </w:t>
      </w:r>
    </w:p>
    <w:p w14:paraId="703873B7" w14:textId="568B9FEA" w:rsidR="005358C4" w:rsidRPr="009815A0" w:rsidRDefault="005358C4" w:rsidP="005358C4">
      <w:pPr>
        <w:spacing w:before="120" w:after="60" w:line="26" w:lineRule="atLeast"/>
        <w:jc w:val="both"/>
        <w:rPr>
          <w:color w:val="000000" w:themeColor="text1"/>
          <w:sz w:val="20"/>
          <w:szCs w:val="20"/>
        </w:rPr>
      </w:pPr>
      <w:r w:rsidRPr="009815A0">
        <w:rPr>
          <w:color w:val="000000" w:themeColor="text1"/>
          <w:sz w:val="20"/>
          <w:szCs w:val="20"/>
        </w:rPr>
        <w:t xml:space="preserve">Dept. Social Services (undated). </w:t>
      </w:r>
      <w:r w:rsidRPr="002C6E96">
        <w:rPr>
          <w:color w:val="000000" w:themeColor="text1"/>
          <w:sz w:val="20"/>
          <w:szCs w:val="20"/>
          <w:u w:val="single"/>
        </w:rPr>
        <w:t>Domestic and Family Violence within LGBTIQ Communities</w:t>
      </w:r>
      <w:r w:rsidRPr="009815A0">
        <w:rPr>
          <w:color w:val="000000" w:themeColor="text1"/>
          <w:sz w:val="20"/>
          <w:szCs w:val="20"/>
        </w:rPr>
        <w:t>. Australian Government, Canberra</w:t>
      </w:r>
    </w:p>
    <w:p w14:paraId="40BC2AFE" w14:textId="77777777" w:rsidR="005358C4" w:rsidRPr="009815A0" w:rsidRDefault="005358C4" w:rsidP="005358C4">
      <w:pPr>
        <w:spacing w:before="120" w:after="60" w:line="26" w:lineRule="atLeast"/>
        <w:jc w:val="both"/>
        <w:rPr>
          <w:color w:val="000000" w:themeColor="text1"/>
          <w:sz w:val="20"/>
          <w:szCs w:val="20"/>
        </w:rPr>
      </w:pPr>
      <w:r w:rsidRPr="009815A0">
        <w:rPr>
          <w:color w:val="000000" w:themeColor="text1"/>
          <w:sz w:val="20"/>
          <w:szCs w:val="20"/>
        </w:rPr>
        <w:t xml:space="preserve">Donovan, C., Hester, M., Holmes, J. and McCurry, M. (2006). </w:t>
      </w:r>
      <w:r w:rsidRPr="002C6E96">
        <w:rPr>
          <w:color w:val="000000" w:themeColor="text1"/>
          <w:sz w:val="20"/>
          <w:szCs w:val="20"/>
          <w:u w:val="single"/>
        </w:rPr>
        <w:t>Comparing Domestic Abuse in Same Sex and Heterosexual Relationships</w:t>
      </w:r>
      <w:r w:rsidRPr="009815A0">
        <w:rPr>
          <w:color w:val="000000" w:themeColor="text1"/>
          <w:sz w:val="20"/>
          <w:szCs w:val="20"/>
        </w:rPr>
        <w:t>. University of Sunderland</w:t>
      </w:r>
    </w:p>
    <w:p w14:paraId="0DCA2154" w14:textId="7FB9C6B6" w:rsidR="005358C4" w:rsidRPr="009815A0" w:rsidRDefault="005358C4" w:rsidP="005358C4">
      <w:pPr>
        <w:spacing w:before="120" w:after="60" w:line="26" w:lineRule="atLeast"/>
        <w:jc w:val="both"/>
        <w:rPr>
          <w:color w:val="000000" w:themeColor="text1"/>
          <w:sz w:val="20"/>
          <w:szCs w:val="20"/>
          <w:lang w:val="en-GB"/>
        </w:rPr>
      </w:pPr>
      <w:proofErr w:type="spellStart"/>
      <w:r w:rsidRPr="009815A0">
        <w:rPr>
          <w:color w:val="000000" w:themeColor="text1"/>
          <w:sz w:val="20"/>
          <w:szCs w:val="20"/>
          <w:lang w:val="en-GB"/>
        </w:rPr>
        <w:t>Doull</w:t>
      </w:r>
      <w:proofErr w:type="spellEnd"/>
      <w:r w:rsidRPr="009815A0">
        <w:rPr>
          <w:color w:val="000000" w:themeColor="text1"/>
          <w:sz w:val="20"/>
          <w:szCs w:val="20"/>
          <w:lang w:val="en-GB"/>
        </w:rPr>
        <w:t xml:space="preserve">, M., Watson, R.J., Smith, A., Homma, Y. and </w:t>
      </w:r>
      <w:proofErr w:type="spellStart"/>
      <w:r w:rsidRPr="009815A0">
        <w:rPr>
          <w:color w:val="000000" w:themeColor="text1"/>
          <w:sz w:val="20"/>
          <w:szCs w:val="20"/>
          <w:lang w:val="en-GB"/>
        </w:rPr>
        <w:t>Sa</w:t>
      </w:r>
      <w:r w:rsidR="0024542C">
        <w:rPr>
          <w:color w:val="000000" w:themeColor="text1"/>
          <w:sz w:val="20"/>
          <w:szCs w:val="20"/>
          <w:lang w:val="en-GB"/>
        </w:rPr>
        <w:t>yec</w:t>
      </w:r>
      <w:proofErr w:type="spellEnd"/>
      <w:r w:rsidRPr="009815A0">
        <w:rPr>
          <w:color w:val="000000" w:themeColor="text1"/>
          <w:sz w:val="20"/>
          <w:szCs w:val="20"/>
          <w:lang w:val="en-GB"/>
        </w:rPr>
        <w:t>, E. (2016). Are we level</w:t>
      </w:r>
      <w:r>
        <w:rPr>
          <w:color w:val="000000" w:themeColor="text1"/>
          <w:sz w:val="20"/>
          <w:szCs w:val="20"/>
          <w:lang w:val="en-GB"/>
        </w:rPr>
        <w:t>l</w:t>
      </w:r>
      <w:r w:rsidRPr="009815A0">
        <w:rPr>
          <w:color w:val="000000" w:themeColor="text1"/>
          <w:sz w:val="20"/>
          <w:szCs w:val="20"/>
          <w:lang w:val="en-GB"/>
        </w:rPr>
        <w:t xml:space="preserve">ing the playing field? Trends and disparities in sports participation among sexual minority youth in Canada. </w:t>
      </w:r>
      <w:r w:rsidRPr="009815A0">
        <w:rPr>
          <w:color w:val="000000" w:themeColor="text1"/>
          <w:sz w:val="20"/>
          <w:szCs w:val="20"/>
          <w:u w:val="single"/>
          <w:lang w:val="en-GB"/>
        </w:rPr>
        <w:t>Journal of Sport and Health Science</w:t>
      </w:r>
      <w:r w:rsidRPr="009815A0">
        <w:rPr>
          <w:color w:val="000000" w:themeColor="text1"/>
          <w:sz w:val="20"/>
          <w:szCs w:val="20"/>
          <w:lang w:val="en-GB"/>
        </w:rPr>
        <w:t xml:space="preserve">. Vol. 7. Issue 2, pp. 218-226. Accessed at: </w:t>
      </w:r>
      <w:hyperlink r:id="rId22" w:history="1">
        <w:r w:rsidRPr="009815A0">
          <w:rPr>
            <w:color w:val="000000" w:themeColor="text1"/>
            <w:sz w:val="20"/>
            <w:szCs w:val="20"/>
            <w:lang w:val="en-GB"/>
          </w:rPr>
          <w:t>https://www.sciencedirect.com/science/article/pii/S2095254616300916</w:t>
        </w:r>
      </w:hyperlink>
    </w:p>
    <w:p w14:paraId="1E6D38D5" w14:textId="4582C0CE" w:rsidR="005358C4" w:rsidRPr="009815A0" w:rsidRDefault="005358C4" w:rsidP="005358C4">
      <w:pPr>
        <w:spacing w:before="120" w:after="60" w:line="26" w:lineRule="atLeast"/>
        <w:jc w:val="both"/>
        <w:rPr>
          <w:color w:val="000000" w:themeColor="text1"/>
          <w:sz w:val="20"/>
          <w:szCs w:val="20"/>
        </w:rPr>
      </w:pPr>
      <w:r w:rsidRPr="009815A0">
        <w:rPr>
          <w:color w:val="000000" w:themeColor="text1"/>
          <w:sz w:val="20"/>
          <w:szCs w:val="20"/>
        </w:rPr>
        <w:t xml:space="preserve">DVConnect (undated). </w:t>
      </w:r>
      <w:r w:rsidRPr="002C6E96">
        <w:rPr>
          <w:color w:val="000000" w:themeColor="text1"/>
          <w:sz w:val="20"/>
          <w:szCs w:val="20"/>
          <w:u w:val="single"/>
        </w:rPr>
        <w:t>LGBTIQ Domestic, Family and Sexual Violence</w:t>
      </w:r>
    </w:p>
    <w:p w14:paraId="5F2A0863" w14:textId="77777777" w:rsidR="005358C4" w:rsidRPr="009815A0" w:rsidRDefault="005358C4" w:rsidP="005358C4">
      <w:pPr>
        <w:spacing w:before="120" w:after="60" w:line="26" w:lineRule="atLeast"/>
        <w:jc w:val="both"/>
        <w:rPr>
          <w:color w:val="000000" w:themeColor="text1"/>
          <w:sz w:val="20"/>
          <w:szCs w:val="20"/>
        </w:rPr>
      </w:pPr>
      <w:r w:rsidRPr="009815A0">
        <w:rPr>
          <w:color w:val="000000" w:themeColor="text1"/>
          <w:sz w:val="20"/>
          <w:szCs w:val="20"/>
        </w:rPr>
        <w:lastRenderedPageBreak/>
        <w:t xml:space="preserve">Edwards, K.M. and Sylaska, K.M. (2013). The Perpetration of Intimate Partner Violence among LGBTQ College Youth: the role of minority stress. </w:t>
      </w:r>
      <w:r w:rsidRPr="002C6E96">
        <w:rPr>
          <w:color w:val="000000" w:themeColor="text1"/>
          <w:sz w:val="20"/>
          <w:szCs w:val="20"/>
          <w:u w:val="single"/>
        </w:rPr>
        <w:t>Journal of Youth and Adolescence</w:t>
      </w:r>
      <w:r>
        <w:rPr>
          <w:color w:val="000000" w:themeColor="text1"/>
          <w:sz w:val="20"/>
          <w:szCs w:val="20"/>
        </w:rPr>
        <w:t>.</w:t>
      </w:r>
      <w:r w:rsidRPr="009815A0">
        <w:rPr>
          <w:color w:val="000000" w:themeColor="text1"/>
          <w:sz w:val="20"/>
          <w:szCs w:val="20"/>
        </w:rPr>
        <w:t xml:space="preserve"> Vol 42, pp. 1721-1731</w:t>
      </w:r>
    </w:p>
    <w:p w14:paraId="6A90A2F7" w14:textId="77777777" w:rsidR="005358C4" w:rsidRPr="005358C4" w:rsidRDefault="005358C4" w:rsidP="005358C4">
      <w:pPr>
        <w:spacing w:before="120" w:after="60" w:line="240" w:lineRule="auto"/>
        <w:jc w:val="both"/>
        <w:rPr>
          <w:sz w:val="20"/>
          <w:szCs w:val="20"/>
        </w:rPr>
      </w:pPr>
      <w:r w:rsidRPr="005358C4">
        <w:rPr>
          <w:sz w:val="20"/>
          <w:szCs w:val="20"/>
        </w:rPr>
        <w:t xml:space="preserve">Engage Victoria (2020). </w:t>
      </w:r>
      <w:r w:rsidRPr="005358C4">
        <w:rPr>
          <w:sz w:val="20"/>
          <w:szCs w:val="20"/>
          <w:u w:val="single"/>
        </w:rPr>
        <w:t>LGBTIQ Equality Rural and Regional Program</w:t>
      </w:r>
      <w:r w:rsidRPr="005358C4">
        <w:rPr>
          <w:sz w:val="20"/>
          <w:szCs w:val="20"/>
        </w:rPr>
        <w:t>. Dept. Premier and Cabinet</w:t>
      </w:r>
    </w:p>
    <w:p w14:paraId="49C8D83D" w14:textId="063AEBB5" w:rsidR="005358C4" w:rsidRPr="009815A0" w:rsidRDefault="005358C4" w:rsidP="005358C4">
      <w:pPr>
        <w:spacing w:before="120" w:after="60" w:line="26" w:lineRule="atLeast"/>
        <w:jc w:val="both"/>
        <w:rPr>
          <w:color w:val="000000" w:themeColor="text1"/>
          <w:sz w:val="20"/>
          <w:szCs w:val="20"/>
          <w:lang w:val="en-GB"/>
        </w:rPr>
      </w:pPr>
      <w:r w:rsidRPr="009815A0">
        <w:rPr>
          <w:color w:val="000000" w:themeColor="text1"/>
          <w:sz w:val="20"/>
          <w:szCs w:val="20"/>
          <w:lang w:val="en-GB"/>
        </w:rPr>
        <w:t xml:space="preserve">Fairchild, J. (2020). </w:t>
      </w:r>
      <w:proofErr w:type="spellStart"/>
      <w:r w:rsidRPr="009815A0">
        <w:rPr>
          <w:color w:val="000000" w:themeColor="text1"/>
          <w:sz w:val="20"/>
          <w:szCs w:val="20"/>
          <w:lang w:val="en-GB"/>
        </w:rPr>
        <w:t>PiP</w:t>
      </w:r>
      <w:proofErr w:type="spellEnd"/>
      <w:r w:rsidRPr="009815A0">
        <w:rPr>
          <w:color w:val="000000" w:themeColor="text1"/>
          <w:sz w:val="20"/>
          <w:szCs w:val="20"/>
          <w:lang w:val="en-GB"/>
        </w:rPr>
        <w:t xml:space="preserve"> Webinar: </w:t>
      </w:r>
      <w:r w:rsidRPr="009815A0">
        <w:rPr>
          <w:color w:val="000000" w:themeColor="text1"/>
          <w:sz w:val="20"/>
          <w:szCs w:val="20"/>
          <w:u w:val="single"/>
          <w:lang w:val="en-GB"/>
        </w:rPr>
        <w:t>LGBTIQ Inclusive Prevention in Conversation with Rainbow Health Victoria</w:t>
      </w:r>
      <w:r w:rsidR="00375321">
        <w:rPr>
          <w:color w:val="000000" w:themeColor="text1"/>
          <w:sz w:val="20"/>
          <w:szCs w:val="20"/>
          <w:lang w:val="en-GB"/>
        </w:rPr>
        <w:t>.</w:t>
      </w:r>
      <w:r w:rsidRPr="009815A0">
        <w:rPr>
          <w:color w:val="000000" w:themeColor="text1"/>
          <w:sz w:val="20"/>
          <w:szCs w:val="20"/>
          <w:lang w:val="en-GB"/>
        </w:rPr>
        <w:t xml:space="preserve"> May 27, 2020</w:t>
      </w:r>
    </w:p>
    <w:p w14:paraId="391C7553" w14:textId="087892A8" w:rsidR="005358C4" w:rsidRPr="009815A0" w:rsidRDefault="005358C4" w:rsidP="005358C4">
      <w:pPr>
        <w:spacing w:before="120" w:after="60" w:line="26" w:lineRule="atLeast"/>
        <w:jc w:val="both"/>
        <w:rPr>
          <w:color w:val="000000" w:themeColor="text1"/>
          <w:sz w:val="20"/>
          <w:szCs w:val="20"/>
        </w:rPr>
      </w:pPr>
      <w:r w:rsidRPr="009815A0">
        <w:rPr>
          <w:color w:val="000000" w:themeColor="text1"/>
          <w:sz w:val="20"/>
          <w:szCs w:val="20"/>
        </w:rPr>
        <w:t xml:space="preserve">Family and Community Services (undated). </w:t>
      </w:r>
      <w:r w:rsidRPr="00DB298D">
        <w:rPr>
          <w:color w:val="000000" w:themeColor="text1"/>
          <w:sz w:val="20"/>
          <w:szCs w:val="20"/>
          <w:u w:val="single"/>
        </w:rPr>
        <w:t>I’m LGBTIQ and Experiencing Domestic Violence</w:t>
      </w:r>
      <w:r w:rsidRPr="009815A0">
        <w:rPr>
          <w:color w:val="000000" w:themeColor="text1"/>
          <w:sz w:val="20"/>
          <w:szCs w:val="20"/>
        </w:rPr>
        <w:t>.</w:t>
      </w:r>
    </w:p>
    <w:p w14:paraId="13CDD0D7" w14:textId="77777777" w:rsidR="005358C4" w:rsidRPr="009815A0" w:rsidRDefault="005358C4" w:rsidP="005358C4">
      <w:pPr>
        <w:spacing w:before="120" w:after="60" w:line="26" w:lineRule="atLeast"/>
        <w:jc w:val="both"/>
        <w:rPr>
          <w:color w:val="000000" w:themeColor="text1"/>
          <w:sz w:val="20"/>
          <w:szCs w:val="20"/>
          <w:lang w:val="en-GB"/>
        </w:rPr>
      </w:pPr>
      <w:r w:rsidRPr="009815A0">
        <w:rPr>
          <w:color w:val="000000" w:themeColor="text1"/>
          <w:sz w:val="20"/>
          <w:szCs w:val="20"/>
          <w:lang w:val="en-GB"/>
        </w:rPr>
        <w:t xml:space="preserve">Flood, M. and Hamilton, C. (2005). </w:t>
      </w:r>
      <w:r w:rsidRPr="009815A0">
        <w:rPr>
          <w:color w:val="000000" w:themeColor="text1"/>
          <w:sz w:val="20"/>
          <w:szCs w:val="20"/>
          <w:u w:val="single"/>
          <w:lang w:val="en-GB"/>
        </w:rPr>
        <w:t>Mapping Homophobia in Australia</w:t>
      </w:r>
      <w:r w:rsidRPr="009815A0">
        <w:rPr>
          <w:color w:val="000000" w:themeColor="text1"/>
          <w:sz w:val="20"/>
          <w:szCs w:val="20"/>
          <w:lang w:val="en-GB"/>
        </w:rPr>
        <w:t>. The Australia Institute.</w:t>
      </w:r>
    </w:p>
    <w:p w14:paraId="59D179DB" w14:textId="77777777" w:rsidR="005358C4" w:rsidRPr="005358C4" w:rsidRDefault="005358C4" w:rsidP="005358C4">
      <w:pPr>
        <w:spacing w:before="120" w:after="60" w:line="240" w:lineRule="auto"/>
        <w:jc w:val="both"/>
        <w:rPr>
          <w:sz w:val="20"/>
          <w:szCs w:val="20"/>
        </w:rPr>
      </w:pPr>
      <w:r w:rsidRPr="005358C4">
        <w:rPr>
          <w:sz w:val="20"/>
          <w:szCs w:val="20"/>
        </w:rPr>
        <w:t xml:space="preserve">Foster, S.J. (1997). </w:t>
      </w:r>
      <w:r w:rsidRPr="005358C4">
        <w:rPr>
          <w:sz w:val="20"/>
          <w:szCs w:val="20"/>
          <w:u w:val="single"/>
        </w:rPr>
        <w:t>Rural Lesbians and Gays: Public Perceptions, Worker Perceptions, and Service Delivery.</w:t>
      </w:r>
      <w:r w:rsidRPr="005358C4">
        <w:rPr>
          <w:sz w:val="20"/>
          <w:szCs w:val="20"/>
        </w:rPr>
        <w:t xml:space="preserve"> Journal of Gay &amp; Lesbian Social Services. Vol. 7, No. 3</w:t>
      </w:r>
    </w:p>
    <w:p w14:paraId="543CB7C6" w14:textId="77777777" w:rsidR="005358C4" w:rsidRPr="009815A0" w:rsidRDefault="005358C4" w:rsidP="005358C4">
      <w:pPr>
        <w:spacing w:before="120" w:after="60" w:line="26" w:lineRule="atLeast"/>
        <w:jc w:val="both"/>
        <w:rPr>
          <w:color w:val="000000" w:themeColor="text1"/>
          <w:sz w:val="20"/>
          <w:szCs w:val="20"/>
        </w:rPr>
      </w:pPr>
      <w:r w:rsidRPr="009815A0">
        <w:rPr>
          <w:color w:val="000000" w:themeColor="text1"/>
          <w:sz w:val="20"/>
          <w:szCs w:val="20"/>
        </w:rPr>
        <w:t xml:space="preserve">Goldenberg, T., Stephenson, R., Freeland, R., Finneran, C. and Hadley, C. (2016). Struggling to be the Alpha: sources of tension and intimate partner violence in same-sex relationships between men. </w:t>
      </w:r>
      <w:r w:rsidRPr="002C6E96">
        <w:rPr>
          <w:color w:val="000000" w:themeColor="text1"/>
          <w:sz w:val="20"/>
          <w:szCs w:val="20"/>
          <w:u w:val="single"/>
        </w:rPr>
        <w:t>Culture, Health and Sexuality</w:t>
      </w:r>
      <w:r>
        <w:rPr>
          <w:color w:val="000000" w:themeColor="text1"/>
          <w:sz w:val="20"/>
          <w:szCs w:val="20"/>
        </w:rPr>
        <w:t xml:space="preserve">. </w:t>
      </w:r>
      <w:r w:rsidRPr="009815A0">
        <w:rPr>
          <w:color w:val="000000" w:themeColor="text1"/>
          <w:sz w:val="20"/>
          <w:szCs w:val="20"/>
        </w:rPr>
        <w:t>Vol. 18, No. 8, pp. 975-889</w:t>
      </w:r>
    </w:p>
    <w:p w14:paraId="38631261" w14:textId="27FF143E" w:rsidR="005358C4" w:rsidRPr="005358C4" w:rsidRDefault="005358C4" w:rsidP="005358C4">
      <w:pPr>
        <w:spacing w:before="120" w:after="60" w:line="240" w:lineRule="auto"/>
        <w:jc w:val="both"/>
        <w:rPr>
          <w:sz w:val="20"/>
          <w:szCs w:val="20"/>
        </w:rPr>
      </w:pPr>
      <w:r w:rsidRPr="005358C4">
        <w:rPr>
          <w:sz w:val="20"/>
          <w:szCs w:val="20"/>
        </w:rPr>
        <w:t xml:space="preserve">Gottschalk, L. (2007). </w:t>
      </w:r>
      <w:r w:rsidRPr="00375321">
        <w:rPr>
          <w:sz w:val="20"/>
          <w:szCs w:val="20"/>
        </w:rPr>
        <w:t>Coping with stigma: Coming out and living as lesbians and gay men in regional and rural areas in the context of problems of rural confidentiality and social exclusion</w:t>
      </w:r>
      <w:r w:rsidRPr="005358C4">
        <w:rPr>
          <w:sz w:val="20"/>
          <w:szCs w:val="20"/>
        </w:rPr>
        <w:t xml:space="preserve">. </w:t>
      </w:r>
      <w:r w:rsidRPr="00375321">
        <w:rPr>
          <w:sz w:val="20"/>
          <w:szCs w:val="20"/>
          <w:u w:val="single"/>
        </w:rPr>
        <w:t>Rural Social Work and Community Practice</w:t>
      </w:r>
      <w:r w:rsidR="001978F2">
        <w:rPr>
          <w:sz w:val="20"/>
          <w:szCs w:val="20"/>
        </w:rPr>
        <w:t>. Federation Business School</w:t>
      </w:r>
    </w:p>
    <w:p w14:paraId="4BC4D8D9" w14:textId="6226EE4D" w:rsidR="005358C4" w:rsidRPr="009815A0" w:rsidRDefault="005358C4" w:rsidP="005358C4">
      <w:pPr>
        <w:spacing w:before="120" w:after="60" w:line="26" w:lineRule="atLeast"/>
        <w:jc w:val="both"/>
        <w:rPr>
          <w:rFonts w:cstheme="minorHAnsi"/>
          <w:color w:val="000000" w:themeColor="text1"/>
          <w:sz w:val="20"/>
          <w:szCs w:val="20"/>
        </w:rPr>
      </w:pPr>
      <w:r w:rsidRPr="009815A0">
        <w:rPr>
          <w:rFonts w:cstheme="minorHAnsi"/>
          <w:color w:val="000000" w:themeColor="text1"/>
          <w:sz w:val="20"/>
          <w:szCs w:val="20"/>
        </w:rPr>
        <w:t xml:space="preserve">Hegarty, K., Hindmarsh, E. </w:t>
      </w:r>
      <w:r w:rsidR="001978F2">
        <w:rPr>
          <w:rFonts w:cstheme="minorHAnsi"/>
          <w:color w:val="000000" w:themeColor="text1"/>
          <w:sz w:val="20"/>
          <w:szCs w:val="20"/>
        </w:rPr>
        <w:t>a</w:t>
      </w:r>
      <w:r w:rsidRPr="009815A0">
        <w:rPr>
          <w:rFonts w:cstheme="minorHAnsi"/>
          <w:color w:val="000000" w:themeColor="text1"/>
          <w:sz w:val="20"/>
          <w:szCs w:val="20"/>
        </w:rPr>
        <w:t xml:space="preserve">nd Gilles, M. (2000). Domestic Violence in Australia: definition, prevalence and nature of the presentation in clinical practice, </w:t>
      </w:r>
      <w:r w:rsidRPr="009815A0">
        <w:rPr>
          <w:rFonts w:cstheme="minorHAnsi"/>
          <w:color w:val="000000" w:themeColor="text1"/>
          <w:sz w:val="20"/>
          <w:szCs w:val="20"/>
          <w:u w:val="single"/>
        </w:rPr>
        <w:t>Medical Journal of Australia</w:t>
      </w:r>
      <w:r w:rsidRPr="009815A0">
        <w:rPr>
          <w:rFonts w:cstheme="minorHAnsi"/>
          <w:color w:val="000000" w:themeColor="text1"/>
          <w:sz w:val="20"/>
          <w:szCs w:val="20"/>
        </w:rPr>
        <w:t>, Vol. 173, pp. 363-367</w:t>
      </w:r>
    </w:p>
    <w:p w14:paraId="7D53A0A0" w14:textId="77777777" w:rsidR="00933878" w:rsidRPr="00933878" w:rsidRDefault="00933878" w:rsidP="005358C4">
      <w:pPr>
        <w:spacing w:before="120" w:after="60" w:line="26" w:lineRule="atLeast"/>
        <w:jc w:val="both"/>
        <w:rPr>
          <w:color w:val="000000" w:themeColor="text1"/>
          <w:sz w:val="20"/>
          <w:szCs w:val="20"/>
        </w:rPr>
      </w:pPr>
      <w:r w:rsidRPr="00933878">
        <w:rPr>
          <w:sz w:val="20"/>
          <w:szCs w:val="20"/>
        </w:rPr>
        <w:t xml:space="preserve">Hill, A. O., Bourne, A., McNair, R., Carman, M. &amp; Lyons, A. (2020). </w:t>
      </w:r>
      <w:r w:rsidRPr="00933878">
        <w:rPr>
          <w:sz w:val="20"/>
          <w:szCs w:val="20"/>
          <w:u w:val="single"/>
        </w:rPr>
        <w:t>Private Lives 3: The health and wellbeing of LGBTIQ people in Australia</w:t>
      </w:r>
      <w:r w:rsidRPr="00933878">
        <w:rPr>
          <w:sz w:val="20"/>
          <w:szCs w:val="20"/>
        </w:rPr>
        <w:t>. Australian Research Centre in Sex, Health and Society</w:t>
      </w:r>
      <w:r w:rsidRPr="00933878">
        <w:rPr>
          <w:color w:val="000000" w:themeColor="text1"/>
          <w:sz w:val="20"/>
          <w:szCs w:val="20"/>
        </w:rPr>
        <w:t xml:space="preserve"> </w:t>
      </w:r>
    </w:p>
    <w:p w14:paraId="59BFCCDB" w14:textId="70977440" w:rsidR="005358C4" w:rsidRPr="009815A0" w:rsidRDefault="005358C4" w:rsidP="005358C4">
      <w:pPr>
        <w:spacing w:before="120" w:after="60" w:line="26" w:lineRule="atLeast"/>
        <w:jc w:val="both"/>
        <w:rPr>
          <w:color w:val="000000" w:themeColor="text1"/>
          <w:sz w:val="20"/>
          <w:szCs w:val="20"/>
        </w:rPr>
      </w:pPr>
      <w:r w:rsidRPr="009815A0">
        <w:rPr>
          <w:color w:val="000000" w:themeColor="text1"/>
          <w:sz w:val="20"/>
          <w:szCs w:val="20"/>
        </w:rPr>
        <w:t xml:space="preserve">Jeffries, S. and Ball, M. (2008). </w:t>
      </w:r>
      <w:r w:rsidRPr="002C6E96">
        <w:rPr>
          <w:color w:val="000000" w:themeColor="text1"/>
          <w:sz w:val="20"/>
          <w:szCs w:val="20"/>
          <w:u w:val="single"/>
        </w:rPr>
        <w:t>Male Same-sex Intimate Partner Violence: a descriptive review and call for further research</w:t>
      </w:r>
      <w:r w:rsidRPr="009815A0">
        <w:rPr>
          <w:color w:val="000000" w:themeColor="text1"/>
          <w:sz w:val="20"/>
          <w:szCs w:val="20"/>
        </w:rPr>
        <w:t>. Griffith University</w:t>
      </w:r>
    </w:p>
    <w:p w14:paraId="2E22C719" w14:textId="0A90F8E9" w:rsidR="005358C4" w:rsidRPr="005358C4" w:rsidRDefault="005358C4" w:rsidP="005358C4">
      <w:pPr>
        <w:spacing w:before="120" w:after="60" w:line="240" w:lineRule="auto"/>
        <w:jc w:val="both"/>
        <w:rPr>
          <w:sz w:val="20"/>
          <w:szCs w:val="20"/>
        </w:rPr>
      </w:pPr>
      <w:r w:rsidRPr="005358C4">
        <w:rPr>
          <w:sz w:val="20"/>
          <w:szCs w:val="20"/>
        </w:rPr>
        <w:t xml:space="preserve">Jones, T. </w:t>
      </w:r>
      <w:r w:rsidR="001978F2">
        <w:rPr>
          <w:sz w:val="20"/>
          <w:szCs w:val="20"/>
        </w:rPr>
        <w:t>(</w:t>
      </w:r>
      <w:r w:rsidRPr="005358C4">
        <w:rPr>
          <w:sz w:val="20"/>
          <w:szCs w:val="20"/>
        </w:rPr>
        <w:t xml:space="preserve">2017). </w:t>
      </w:r>
      <w:r w:rsidRPr="00375321">
        <w:rPr>
          <w:sz w:val="20"/>
          <w:szCs w:val="20"/>
        </w:rPr>
        <w:t>Comparing Rural and Educational Contexts for LGBTI students.</w:t>
      </w:r>
      <w:r w:rsidRPr="005358C4">
        <w:rPr>
          <w:sz w:val="20"/>
          <w:szCs w:val="20"/>
          <w:u w:val="single"/>
        </w:rPr>
        <w:t xml:space="preserve"> Australian and International Journal of Rural Education</w:t>
      </w:r>
      <w:r w:rsidRPr="005358C4">
        <w:rPr>
          <w:sz w:val="20"/>
          <w:szCs w:val="20"/>
        </w:rPr>
        <w:t>. University of New England</w:t>
      </w:r>
    </w:p>
    <w:p w14:paraId="073CE63F" w14:textId="360E2A14" w:rsidR="005358C4" w:rsidRPr="009815A0" w:rsidRDefault="005358C4" w:rsidP="005358C4">
      <w:pPr>
        <w:spacing w:before="120" w:after="60" w:line="26" w:lineRule="atLeast"/>
        <w:jc w:val="both"/>
        <w:rPr>
          <w:color w:val="000000" w:themeColor="text1"/>
          <w:sz w:val="20"/>
          <w:szCs w:val="20"/>
        </w:rPr>
      </w:pPr>
      <w:r w:rsidRPr="009815A0">
        <w:rPr>
          <w:color w:val="000000" w:themeColor="text1"/>
          <w:sz w:val="20"/>
          <w:szCs w:val="20"/>
        </w:rPr>
        <w:t xml:space="preserve">Katz-Wise, S., Rosario, M. and Tsappis, M. (2016). LGBT Youth and Family Acceptance. </w:t>
      </w:r>
      <w:r w:rsidRPr="009815A0">
        <w:rPr>
          <w:color w:val="000000" w:themeColor="text1"/>
          <w:sz w:val="20"/>
          <w:szCs w:val="20"/>
          <w:u w:val="single"/>
        </w:rPr>
        <w:t>Pediatr Clin North Am</w:t>
      </w:r>
      <w:r w:rsidRPr="009815A0">
        <w:rPr>
          <w:color w:val="000000" w:themeColor="text1"/>
          <w:sz w:val="20"/>
          <w:szCs w:val="20"/>
        </w:rPr>
        <w:t xml:space="preserve">. 2016 Dec., Vol. 63, No. 6. </w:t>
      </w:r>
      <w:r w:rsidR="00375321">
        <w:rPr>
          <w:color w:val="000000" w:themeColor="text1"/>
          <w:sz w:val="20"/>
          <w:szCs w:val="20"/>
        </w:rPr>
        <w:t>p</w:t>
      </w:r>
      <w:r w:rsidRPr="009815A0">
        <w:rPr>
          <w:color w:val="000000" w:themeColor="text1"/>
          <w:sz w:val="20"/>
          <w:szCs w:val="20"/>
        </w:rPr>
        <w:t>p. 1011–1025</w:t>
      </w:r>
    </w:p>
    <w:p w14:paraId="4659C266" w14:textId="68FD8C5F" w:rsidR="005358C4" w:rsidRPr="009815A0" w:rsidRDefault="005358C4" w:rsidP="005358C4">
      <w:pPr>
        <w:spacing w:before="120" w:after="60" w:line="26" w:lineRule="atLeast"/>
        <w:jc w:val="both"/>
        <w:rPr>
          <w:color w:val="000000" w:themeColor="text1"/>
          <w:sz w:val="20"/>
          <w:szCs w:val="20"/>
        </w:rPr>
      </w:pPr>
      <w:r w:rsidRPr="009815A0">
        <w:rPr>
          <w:color w:val="000000" w:themeColor="text1"/>
          <w:sz w:val="20"/>
          <w:szCs w:val="20"/>
        </w:rPr>
        <w:t xml:space="preserve">Leonard, W., Mitchell, A., Pitt, M. and Patel, S. (2008). </w:t>
      </w:r>
      <w:r w:rsidRPr="002C6E96">
        <w:rPr>
          <w:color w:val="000000" w:themeColor="text1"/>
          <w:sz w:val="20"/>
          <w:szCs w:val="20"/>
          <w:u w:val="single"/>
        </w:rPr>
        <w:t>Coming Forward: the underreporting of hetrosexist violence and same-sex partner abuse in Victoria</w:t>
      </w:r>
      <w:r w:rsidRPr="009815A0">
        <w:rPr>
          <w:color w:val="000000" w:themeColor="text1"/>
          <w:sz w:val="20"/>
          <w:szCs w:val="20"/>
        </w:rPr>
        <w:t>. Gay and Lesbian Health Victoria</w:t>
      </w:r>
    </w:p>
    <w:p w14:paraId="7C838FC7" w14:textId="77777777" w:rsidR="005358C4" w:rsidRPr="009815A0" w:rsidRDefault="005358C4" w:rsidP="005358C4">
      <w:pPr>
        <w:spacing w:before="120" w:after="60" w:line="26" w:lineRule="atLeast"/>
        <w:jc w:val="both"/>
        <w:rPr>
          <w:color w:val="000000" w:themeColor="text1"/>
          <w:sz w:val="20"/>
          <w:szCs w:val="20"/>
        </w:rPr>
      </w:pPr>
      <w:r w:rsidRPr="009815A0">
        <w:rPr>
          <w:color w:val="000000" w:themeColor="text1"/>
          <w:sz w:val="20"/>
          <w:szCs w:val="20"/>
        </w:rPr>
        <w:t xml:space="preserve">Leonard, W., Pitts, M., Mitchell, A., Lyons, A., Patel, AS., Couth, M. and Barrett, A. (2012). </w:t>
      </w:r>
      <w:r w:rsidRPr="002C6E96">
        <w:rPr>
          <w:color w:val="000000" w:themeColor="text1"/>
          <w:sz w:val="20"/>
          <w:szCs w:val="20"/>
          <w:u w:val="single"/>
        </w:rPr>
        <w:t>Private Lives 2: The second national survey of the health and wellbeing of GLBT Australians</w:t>
      </w:r>
      <w:r w:rsidRPr="009815A0">
        <w:rPr>
          <w:color w:val="000000" w:themeColor="text1"/>
          <w:sz w:val="20"/>
          <w:szCs w:val="20"/>
        </w:rPr>
        <w:t xml:space="preserve">. Australian Research </w:t>
      </w:r>
      <w:r>
        <w:rPr>
          <w:color w:val="000000" w:themeColor="text1"/>
          <w:sz w:val="20"/>
          <w:szCs w:val="20"/>
        </w:rPr>
        <w:t>Centre</w:t>
      </w:r>
      <w:r w:rsidRPr="009815A0">
        <w:rPr>
          <w:color w:val="000000" w:themeColor="text1"/>
          <w:sz w:val="20"/>
          <w:szCs w:val="20"/>
        </w:rPr>
        <w:t xml:space="preserve"> in Sex, Health and Society</w:t>
      </w:r>
    </w:p>
    <w:p w14:paraId="5E2FC57E" w14:textId="77777777" w:rsidR="005358C4" w:rsidRPr="009815A0" w:rsidRDefault="005358C4" w:rsidP="005358C4">
      <w:pPr>
        <w:spacing w:before="120" w:after="60" w:line="26" w:lineRule="atLeast"/>
        <w:jc w:val="both"/>
        <w:rPr>
          <w:color w:val="000000" w:themeColor="text1"/>
          <w:sz w:val="20"/>
          <w:szCs w:val="20"/>
          <w:lang w:val="en-GB"/>
        </w:rPr>
      </w:pPr>
      <w:proofErr w:type="spellStart"/>
      <w:r w:rsidRPr="009815A0">
        <w:rPr>
          <w:color w:val="000000" w:themeColor="text1"/>
          <w:sz w:val="20"/>
          <w:szCs w:val="20"/>
          <w:lang w:val="en-GB"/>
        </w:rPr>
        <w:t>Lettelier</w:t>
      </w:r>
      <w:proofErr w:type="spellEnd"/>
      <w:r w:rsidRPr="009815A0">
        <w:rPr>
          <w:color w:val="000000" w:themeColor="text1"/>
          <w:sz w:val="20"/>
          <w:szCs w:val="20"/>
          <w:lang w:val="en-GB"/>
        </w:rPr>
        <w:t xml:space="preserve">, P. (1994) Gay and Bisexual Domestic Violence Victimization: challenges to feminist theory and response to violence. </w:t>
      </w:r>
      <w:r w:rsidRPr="002C6E96">
        <w:rPr>
          <w:color w:val="000000" w:themeColor="text1"/>
          <w:sz w:val="20"/>
          <w:szCs w:val="20"/>
          <w:u w:val="single"/>
          <w:lang w:val="en-GB"/>
        </w:rPr>
        <w:t>Violence and Victims</w:t>
      </w:r>
      <w:r>
        <w:rPr>
          <w:color w:val="000000" w:themeColor="text1"/>
          <w:sz w:val="20"/>
          <w:szCs w:val="20"/>
          <w:lang w:val="en-GB"/>
        </w:rPr>
        <w:t>.</w:t>
      </w:r>
      <w:r w:rsidRPr="009815A0">
        <w:rPr>
          <w:color w:val="000000" w:themeColor="text1"/>
          <w:sz w:val="20"/>
          <w:szCs w:val="20"/>
          <w:lang w:val="en-GB"/>
        </w:rPr>
        <w:t xml:space="preserve"> Vol. 9, No. 2</w:t>
      </w:r>
    </w:p>
    <w:p w14:paraId="69B86AE2" w14:textId="77777777" w:rsidR="005358C4" w:rsidRPr="009815A0" w:rsidRDefault="005358C4" w:rsidP="005358C4">
      <w:pPr>
        <w:spacing w:before="120" w:after="60" w:line="26" w:lineRule="atLeast"/>
        <w:jc w:val="both"/>
        <w:rPr>
          <w:color w:val="000000" w:themeColor="text1"/>
          <w:sz w:val="20"/>
          <w:szCs w:val="20"/>
        </w:rPr>
      </w:pPr>
      <w:r w:rsidRPr="009815A0">
        <w:rPr>
          <w:color w:val="000000" w:themeColor="text1"/>
          <w:sz w:val="20"/>
          <w:szCs w:val="20"/>
        </w:rPr>
        <w:t xml:space="preserve">Li, A. (2020). Unique Issues Around Domestic Violence in LGBTQI Community. </w:t>
      </w:r>
      <w:r w:rsidRPr="002C6E96">
        <w:rPr>
          <w:color w:val="000000" w:themeColor="text1"/>
          <w:sz w:val="20"/>
          <w:szCs w:val="20"/>
          <w:u w:val="single"/>
        </w:rPr>
        <w:t>Canberra Family Lawyer</w:t>
      </w:r>
      <w:r w:rsidRPr="009815A0">
        <w:rPr>
          <w:color w:val="000000" w:themeColor="text1"/>
          <w:sz w:val="20"/>
          <w:szCs w:val="20"/>
        </w:rPr>
        <w:t>. April 30, 2020</w:t>
      </w:r>
    </w:p>
    <w:p w14:paraId="62E94075" w14:textId="32B6912B" w:rsidR="005358C4" w:rsidRPr="009815A0" w:rsidRDefault="005358C4" w:rsidP="005358C4">
      <w:pPr>
        <w:spacing w:before="120" w:after="60" w:line="26" w:lineRule="atLeast"/>
        <w:jc w:val="both"/>
        <w:rPr>
          <w:color w:val="000000" w:themeColor="text1"/>
          <w:sz w:val="20"/>
          <w:szCs w:val="20"/>
        </w:rPr>
      </w:pPr>
      <w:r w:rsidRPr="009815A0">
        <w:rPr>
          <w:color w:val="000000" w:themeColor="text1"/>
          <w:sz w:val="20"/>
          <w:szCs w:val="20"/>
        </w:rPr>
        <w:t>Lieth, B., Gray, R., Hamer, J., Broady, T., Kean, J., Ling, J.</w:t>
      </w:r>
      <w:r w:rsidR="00375321">
        <w:rPr>
          <w:color w:val="000000" w:themeColor="text1"/>
          <w:sz w:val="20"/>
          <w:szCs w:val="20"/>
        </w:rPr>
        <w:t xml:space="preserve"> and</w:t>
      </w:r>
      <w:r w:rsidRPr="009815A0">
        <w:rPr>
          <w:color w:val="000000" w:themeColor="text1"/>
          <w:sz w:val="20"/>
          <w:szCs w:val="20"/>
        </w:rPr>
        <w:t xml:space="preserve"> Walker, T. (2020). </w:t>
      </w:r>
      <w:r w:rsidRPr="002C6E96">
        <w:rPr>
          <w:color w:val="000000" w:themeColor="text1"/>
          <w:sz w:val="20"/>
          <w:szCs w:val="20"/>
          <w:u w:val="single"/>
        </w:rPr>
        <w:t>Developing LGBTQ Programs for Perpetrators and Victims/Survivors of Domestic and Family Violence</w:t>
      </w:r>
      <w:r w:rsidRPr="009815A0">
        <w:rPr>
          <w:color w:val="000000" w:themeColor="text1"/>
          <w:sz w:val="20"/>
          <w:szCs w:val="20"/>
        </w:rPr>
        <w:t>. Australia’s National Research Organi</w:t>
      </w:r>
      <w:r w:rsidR="00375321">
        <w:rPr>
          <w:color w:val="000000" w:themeColor="text1"/>
          <w:sz w:val="20"/>
          <w:szCs w:val="20"/>
        </w:rPr>
        <w:t>z</w:t>
      </w:r>
      <w:r w:rsidRPr="009815A0">
        <w:rPr>
          <w:color w:val="000000" w:themeColor="text1"/>
          <w:sz w:val="20"/>
          <w:szCs w:val="20"/>
        </w:rPr>
        <w:t>ation for Women’s Safety</w:t>
      </w:r>
    </w:p>
    <w:p w14:paraId="295AB8F9" w14:textId="61FF1005" w:rsidR="005358C4" w:rsidRPr="009815A0" w:rsidRDefault="005358C4" w:rsidP="005358C4">
      <w:pPr>
        <w:spacing w:before="120" w:after="60" w:line="26" w:lineRule="atLeast"/>
        <w:jc w:val="both"/>
        <w:rPr>
          <w:color w:val="000000" w:themeColor="text1"/>
          <w:sz w:val="20"/>
          <w:szCs w:val="20"/>
        </w:rPr>
      </w:pPr>
      <w:r w:rsidRPr="009815A0">
        <w:rPr>
          <w:color w:val="000000" w:themeColor="text1"/>
          <w:sz w:val="20"/>
          <w:szCs w:val="20"/>
        </w:rPr>
        <w:t xml:space="preserve">Loft, B. (2016). </w:t>
      </w:r>
      <w:r w:rsidRPr="002C6E96">
        <w:rPr>
          <w:color w:val="000000" w:themeColor="text1"/>
          <w:sz w:val="20"/>
          <w:szCs w:val="20"/>
          <w:u w:val="single"/>
        </w:rPr>
        <w:t>Breaking the Binary Code Project: celebrating gender and sexuality diversity, challenging stereotypes and relationship expectations</w:t>
      </w:r>
    </w:p>
    <w:p w14:paraId="1876F496" w14:textId="77777777" w:rsidR="005358C4" w:rsidRPr="005358C4" w:rsidRDefault="005358C4" w:rsidP="005358C4">
      <w:pPr>
        <w:spacing w:before="120" w:after="60" w:line="240" w:lineRule="auto"/>
        <w:jc w:val="both"/>
        <w:rPr>
          <w:sz w:val="20"/>
          <w:szCs w:val="20"/>
        </w:rPr>
      </w:pPr>
      <w:r w:rsidRPr="005358C4">
        <w:rPr>
          <w:sz w:val="20"/>
          <w:szCs w:val="20"/>
        </w:rPr>
        <w:t xml:space="preserve">Lyndhorst, T. (1997). </w:t>
      </w:r>
      <w:r w:rsidRPr="00375321">
        <w:rPr>
          <w:sz w:val="20"/>
          <w:szCs w:val="20"/>
        </w:rPr>
        <w:t>Lesbians and Gay Men in the Country: Practice Implications for Rural Social Workers</w:t>
      </w:r>
      <w:r w:rsidRPr="005358C4">
        <w:rPr>
          <w:sz w:val="20"/>
          <w:szCs w:val="20"/>
        </w:rPr>
        <w:t xml:space="preserve">. </w:t>
      </w:r>
      <w:r w:rsidRPr="00375321">
        <w:rPr>
          <w:sz w:val="20"/>
          <w:szCs w:val="20"/>
          <w:u w:val="single"/>
        </w:rPr>
        <w:t>Journal of Gay &amp; Lesbian Social Services</w:t>
      </w:r>
      <w:r w:rsidRPr="005358C4">
        <w:rPr>
          <w:sz w:val="20"/>
          <w:szCs w:val="20"/>
        </w:rPr>
        <w:t>. Vol. 7, No. 3</w:t>
      </w:r>
    </w:p>
    <w:p w14:paraId="2691E6F3" w14:textId="77777777" w:rsidR="005358C4" w:rsidRPr="009815A0" w:rsidRDefault="005358C4" w:rsidP="005358C4">
      <w:pPr>
        <w:spacing w:before="120" w:after="60" w:line="26" w:lineRule="atLeast"/>
        <w:jc w:val="both"/>
        <w:rPr>
          <w:color w:val="000000" w:themeColor="text1"/>
          <w:sz w:val="20"/>
          <w:szCs w:val="20"/>
        </w:rPr>
      </w:pPr>
      <w:r w:rsidRPr="009815A0">
        <w:rPr>
          <w:color w:val="000000" w:themeColor="text1"/>
          <w:sz w:val="20"/>
          <w:szCs w:val="20"/>
        </w:rPr>
        <w:t xml:space="preserve">Lyons, A. (2018). Partner Violence in LGBTQI Relationships. </w:t>
      </w:r>
      <w:r w:rsidRPr="002C6E96">
        <w:rPr>
          <w:color w:val="000000" w:themeColor="text1"/>
          <w:sz w:val="20"/>
          <w:szCs w:val="20"/>
          <w:u w:val="single"/>
        </w:rPr>
        <w:t>News GP</w:t>
      </w:r>
    </w:p>
    <w:p w14:paraId="4655C48E" w14:textId="77777777" w:rsidR="005358C4" w:rsidRPr="009815A0" w:rsidRDefault="005358C4" w:rsidP="005358C4">
      <w:pPr>
        <w:spacing w:before="120" w:after="60" w:line="26" w:lineRule="atLeast"/>
        <w:jc w:val="both"/>
        <w:rPr>
          <w:color w:val="000000" w:themeColor="text1"/>
          <w:sz w:val="20"/>
          <w:szCs w:val="20"/>
        </w:rPr>
      </w:pPr>
      <w:r w:rsidRPr="009815A0">
        <w:rPr>
          <w:color w:val="000000" w:themeColor="text1"/>
          <w:sz w:val="20"/>
          <w:szCs w:val="20"/>
        </w:rPr>
        <w:t xml:space="preserve">McCann, H. (2019). </w:t>
      </w:r>
      <w:r w:rsidRPr="009815A0">
        <w:rPr>
          <w:color w:val="000000" w:themeColor="text1"/>
          <w:sz w:val="20"/>
          <w:szCs w:val="20"/>
          <w:u w:val="single"/>
        </w:rPr>
        <w:t>Why more Australians are Supporting Gay Rights</w:t>
      </w:r>
      <w:r w:rsidRPr="009815A0">
        <w:rPr>
          <w:color w:val="000000" w:themeColor="text1"/>
          <w:sz w:val="20"/>
          <w:szCs w:val="20"/>
        </w:rPr>
        <w:t>. University of Melbourne.</w:t>
      </w:r>
    </w:p>
    <w:p w14:paraId="4578B479" w14:textId="77777777" w:rsidR="00624BDD" w:rsidRPr="00624BDD" w:rsidRDefault="00624BDD" w:rsidP="005358C4">
      <w:pPr>
        <w:spacing w:before="120" w:after="60" w:line="26" w:lineRule="atLeast"/>
        <w:jc w:val="both"/>
        <w:rPr>
          <w:color w:val="000000" w:themeColor="text1"/>
          <w:sz w:val="20"/>
          <w:szCs w:val="20"/>
        </w:rPr>
      </w:pPr>
      <w:r w:rsidRPr="00624BDD">
        <w:rPr>
          <w:color w:val="000000" w:themeColor="text1"/>
          <w:sz w:val="20"/>
          <w:szCs w:val="20"/>
        </w:rPr>
        <w:t xml:space="preserve">McNair, R., Kavanagh, A., Agues, P and Tong, B. (2004). The Mental Health Status of Young Adult and Mid-life Non-heterosexual Australian Women. </w:t>
      </w:r>
      <w:r w:rsidRPr="00624BDD">
        <w:rPr>
          <w:color w:val="000000" w:themeColor="text1"/>
          <w:sz w:val="20"/>
          <w:szCs w:val="20"/>
          <w:u w:val="single"/>
        </w:rPr>
        <w:t>Australian and New Zealand Journal of Public Health</w:t>
      </w:r>
      <w:r w:rsidRPr="00624BDD">
        <w:rPr>
          <w:color w:val="000000" w:themeColor="text1"/>
          <w:sz w:val="20"/>
          <w:szCs w:val="20"/>
        </w:rPr>
        <w:t>, Vol. 29 No. 3 pp. 265-271</w:t>
      </w:r>
    </w:p>
    <w:p w14:paraId="636251FA" w14:textId="336F0752" w:rsidR="005358C4" w:rsidRPr="009815A0" w:rsidRDefault="005358C4" w:rsidP="005358C4">
      <w:pPr>
        <w:spacing w:before="120" w:after="60" w:line="26" w:lineRule="atLeast"/>
        <w:jc w:val="both"/>
        <w:rPr>
          <w:color w:val="000000" w:themeColor="text1"/>
          <w:sz w:val="20"/>
          <w:szCs w:val="20"/>
        </w:rPr>
      </w:pPr>
      <w:r w:rsidRPr="009815A0">
        <w:rPr>
          <w:color w:val="000000" w:themeColor="text1"/>
          <w:sz w:val="20"/>
          <w:szCs w:val="20"/>
        </w:rPr>
        <w:t>Merrill, G.S. and Wolfe, V</w:t>
      </w:r>
      <w:r w:rsidR="00375321">
        <w:rPr>
          <w:color w:val="000000" w:themeColor="text1"/>
          <w:sz w:val="20"/>
          <w:szCs w:val="20"/>
        </w:rPr>
        <w:t>.</w:t>
      </w:r>
      <w:r w:rsidRPr="009815A0">
        <w:rPr>
          <w:color w:val="000000" w:themeColor="text1"/>
          <w:sz w:val="20"/>
          <w:szCs w:val="20"/>
        </w:rPr>
        <w:t>G.A. (2000). Battered Gay Men: an exploration of abuse, help</w:t>
      </w:r>
      <w:r>
        <w:rPr>
          <w:color w:val="000000" w:themeColor="text1"/>
          <w:sz w:val="20"/>
          <w:szCs w:val="20"/>
        </w:rPr>
        <w:t xml:space="preserve">-seeking </w:t>
      </w:r>
      <w:r w:rsidRPr="009815A0">
        <w:rPr>
          <w:color w:val="000000" w:themeColor="text1"/>
          <w:sz w:val="20"/>
          <w:szCs w:val="20"/>
        </w:rPr>
        <w:t xml:space="preserve">and why they stay. </w:t>
      </w:r>
      <w:r w:rsidRPr="002C6E96">
        <w:rPr>
          <w:color w:val="000000" w:themeColor="text1"/>
          <w:sz w:val="20"/>
          <w:szCs w:val="20"/>
          <w:u w:val="single"/>
        </w:rPr>
        <w:t>Journal of Homosexuality</w:t>
      </w:r>
      <w:r>
        <w:rPr>
          <w:color w:val="000000" w:themeColor="text1"/>
          <w:sz w:val="20"/>
          <w:szCs w:val="20"/>
        </w:rPr>
        <w:t>.</w:t>
      </w:r>
      <w:r w:rsidRPr="009815A0">
        <w:rPr>
          <w:color w:val="000000" w:themeColor="text1"/>
          <w:sz w:val="20"/>
          <w:szCs w:val="20"/>
        </w:rPr>
        <w:t xml:space="preserve"> Vol. 39, pp. 1-30</w:t>
      </w:r>
    </w:p>
    <w:p w14:paraId="4DEFCE38" w14:textId="77777777" w:rsidR="005358C4" w:rsidRPr="009815A0" w:rsidRDefault="005358C4" w:rsidP="005358C4">
      <w:pPr>
        <w:spacing w:before="120" w:after="60" w:line="26" w:lineRule="atLeast"/>
        <w:jc w:val="both"/>
        <w:rPr>
          <w:color w:val="000000" w:themeColor="text1"/>
          <w:sz w:val="20"/>
          <w:szCs w:val="20"/>
        </w:rPr>
      </w:pPr>
      <w:r w:rsidRPr="009815A0">
        <w:rPr>
          <w:color w:val="000000" w:themeColor="text1"/>
          <w:sz w:val="20"/>
          <w:szCs w:val="20"/>
        </w:rPr>
        <w:t xml:space="preserve">Meyer, I.H. (2003). Prejudice, Social Stress and Mental Health in Lesbian, Gay, and Bisexual Populations: conceptual issues and research evidence </w:t>
      </w:r>
      <w:r w:rsidRPr="002C6E96">
        <w:rPr>
          <w:color w:val="000000" w:themeColor="text1"/>
          <w:sz w:val="20"/>
          <w:szCs w:val="20"/>
          <w:u w:val="single"/>
        </w:rPr>
        <w:t>Psychological Bulletin</w:t>
      </w:r>
      <w:r>
        <w:rPr>
          <w:color w:val="000000" w:themeColor="text1"/>
          <w:sz w:val="20"/>
          <w:szCs w:val="20"/>
        </w:rPr>
        <w:t>.</w:t>
      </w:r>
      <w:r w:rsidRPr="009815A0">
        <w:rPr>
          <w:color w:val="000000" w:themeColor="text1"/>
          <w:sz w:val="20"/>
          <w:szCs w:val="20"/>
        </w:rPr>
        <w:t xml:space="preserve"> Sept, Vol. 129, No. 5, pp. 674-697</w:t>
      </w:r>
    </w:p>
    <w:p w14:paraId="03C7117D" w14:textId="40BE8B94" w:rsidR="005358C4" w:rsidRPr="009815A0" w:rsidRDefault="005358C4" w:rsidP="005358C4">
      <w:pPr>
        <w:spacing w:before="120" w:after="60" w:line="26" w:lineRule="atLeast"/>
        <w:jc w:val="both"/>
        <w:rPr>
          <w:color w:val="000000" w:themeColor="text1"/>
          <w:sz w:val="20"/>
          <w:szCs w:val="20"/>
        </w:rPr>
      </w:pPr>
      <w:r w:rsidRPr="009815A0">
        <w:rPr>
          <w:color w:val="000000" w:themeColor="text1"/>
          <w:sz w:val="20"/>
          <w:szCs w:val="20"/>
        </w:rPr>
        <w:lastRenderedPageBreak/>
        <w:t xml:space="preserve">National Coalition Against Domestic Violence (undated). </w:t>
      </w:r>
      <w:r w:rsidRPr="002C6E96">
        <w:rPr>
          <w:color w:val="000000" w:themeColor="text1"/>
          <w:sz w:val="20"/>
          <w:szCs w:val="20"/>
          <w:u w:val="single"/>
        </w:rPr>
        <w:t>Domestic Violence and Lesbian, Gay, Bisexual and Transgender Relationships.</w:t>
      </w:r>
      <w:r w:rsidRPr="00375321">
        <w:rPr>
          <w:color w:val="000000" w:themeColor="text1"/>
          <w:sz w:val="20"/>
          <w:szCs w:val="20"/>
        </w:rPr>
        <w:t xml:space="preserve"> National Coalition Against Domestic Violence</w:t>
      </w:r>
    </w:p>
    <w:p w14:paraId="06F6A568" w14:textId="04155084" w:rsidR="005358C4" w:rsidRPr="009815A0" w:rsidRDefault="005358C4" w:rsidP="005358C4">
      <w:pPr>
        <w:spacing w:before="120" w:after="60" w:line="26" w:lineRule="atLeast"/>
        <w:jc w:val="both"/>
        <w:rPr>
          <w:color w:val="000000" w:themeColor="text1"/>
          <w:sz w:val="20"/>
          <w:szCs w:val="20"/>
        </w:rPr>
      </w:pPr>
      <w:r w:rsidRPr="009815A0">
        <w:rPr>
          <w:color w:val="000000" w:themeColor="text1"/>
          <w:sz w:val="20"/>
          <w:szCs w:val="20"/>
        </w:rPr>
        <w:t xml:space="preserve">National LGBT Health Alliance (2009). </w:t>
      </w:r>
      <w:r w:rsidRPr="002C6E96">
        <w:rPr>
          <w:color w:val="000000" w:themeColor="text1"/>
          <w:sz w:val="20"/>
          <w:szCs w:val="20"/>
          <w:u w:val="single"/>
        </w:rPr>
        <w:t>Submission to the Inquiry into the Impact of Violence on Young Australians</w:t>
      </w:r>
    </w:p>
    <w:p w14:paraId="3F3434B6" w14:textId="77777777" w:rsidR="005358C4" w:rsidRPr="009815A0" w:rsidRDefault="005358C4" w:rsidP="005358C4">
      <w:pPr>
        <w:spacing w:before="120" w:after="60" w:line="26" w:lineRule="atLeast"/>
        <w:jc w:val="both"/>
        <w:rPr>
          <w:color w:val="000000" w:themeColor="text1"/>
          <w:sz w:val="20"/>
          <w:szCs w:val="20"/>
          <w:lang w:val="en-GB"/>
        </w:rPr>
      </w:pPr>
      <w:r w:rsidRPr="009815A0">
        <w:rPr>
          <w:color w:val="000000" w:themeColor="text1"/>
          <w:sz w:val="20"/>
          <w:szCs w:val="20"/>
          <w:lang w:val="en-GB"/>
        </w:rPr>
        <w:t xml:space="preserve">National LGBTI Health Alliance (2018). </w:t>
      </w:r>
      <w:r w:rsidRPr="009815A0">
        <w:rPr>
          <w:color w:val="000000" w:themeColor="text1"/>
          <w:sz w:val="20"/>
          <w:szCs w:val="20"/>
          <w:u w:val="single"/>
          <w:lang w:val="en-GB"/>
        </w:rPr>
        <w:t>Synthesis of Current Evidence for Good Practice in the Prevention of Suicide for LGBTI People</w:t>
      </w:r>
      <w:r w:rsidRPr="009815A0">
        <w:rPr>
          <w:color w:val="000000" w:themeColor="text1"/>
          <w:sz w:val="20"/>
          <w:szCs w:val="20"/>
          <w:lang w:val="en-GB"/>
        </w:rPr>
        <w:t>. National LGBTI Health Alliance</w:t>
      </w:r>
    </w:p>
    <w:p w14:paraId="50D71138" w14:textId="77777777" w:rsidR="005358C4" w:rsidRPr="009815A0" w:rsidRDefault="005358C4" w:rsidP="005358C4">
      <w:pPr>
        <w:spacing w:before="120" w:after="60" w:line="26" w:lineRule="atLeast"/>
        <w:jc w:val="both"/>
        <w:rPr>
          <w:color w:val="000000" w:themeColor="text1"/>
          <w:sz w:val="20"/>
          <w:szCs w:val="20"/>
          <w:lang w:val="en-GB"/>
        </w:rPr>
      </w:pPr>
      <w:r w:rsidRPr="009815A0">
        <w:rPr>
          <w:color w:val="000000" w:themeColor="text1"/>
          <w:sz w:val="20"/>
          <w:szCs w:val="20"/>
          <w:lang w:val="en-GB"/>
        </w:rPr>
        <w:t xml:space="preserve">National LGBTI Health Alliance (2020). </w:t>
      </w:r>
      <w:r w:rsidRPr="009815A0">
        <w:rPr>
          <w:color w:val="000000" w:themeColor="text1"/>
          <w:sz w:val="20"/>
          <w:szCs w:val="20"/>
          <w:u w:val="single"/>
          <w:lang w:val="en-GB"/>
        </w:rPr>
        <w:t>Snapshot of Mental Health and Suicide among LGBTI Young People</w:t>
      </w:r>
      <w:r w:rsidRPr="009815A0">
        <w:rPr>
          <w:color w:val="000000" w:themeColor="text1"/>
          <w:sz w:val="20"/>
          <w:szCs w:val="20"/>
          <w:lang w:val="en-GB"/>
        </w:rPr>
        <w:t>. National LGBTI Health Alliance</w:t>
      </w:r>
    </w:p>
    <w:p w14:paraId="65BC68C8" w14:textId="77777777" w:rsidR="005358C4" w:rsidRPr="009815A0" w:rsidRDefault="005358C4" w:rsidP="005358C4">
      <w:pPr>
        <w:spacing w:before="120" w:after="60" w:line="26" w:lineRule="atLeast"/>
        <w:jc w:val="both"/>
        <w:rPr>
          <w:color w:val="000000" w:themeColor="text1"/>
          <w:sz w:val="20"/>
          <w:szCs w:val="20"/>
          <w:lang w:val="en-GB"/>
        </w:rPr>
      </w:pPr>
      <w:bookmarkStart w:id="0" w:name="_Hlk48827304"/>
      <w:r w:rsidRPr="009815A0">
        <w:rPr>
          <w:color w:val="000000" w:themeColor="text1"/>
          <w:sz w:val="20"/>
          <w:szCs w:val="20"/>
          <w:lang w:val="en-GB"/>
        </w:rPr>
        <w:t xml:space="preserve">New South Wales Attorney General Department (2003). </w:t>
      </w:r>
      <w:r w:rsidRPr="009815A0">
        <w:rPr>
          <w:color w:val="000000" w:themeColor="text1"/>
          <w:sz w:val="20"/>
          <w:szCs w:val="20"/>
          <w:u w:val="single"/>
          <w:lang w:val="en-GB"/>
        </w:rPr>
        <w:t>You shouldn’t have to hide to be safe: A report on Homophobic Hostilities and Violence against Gay Men and Lesbians in New South Wales</w:t>
      </w:r>
      <w:r w:rsidRPr="009815A0">
        <w:rPr>
          <w:color w:val="000000" w:themeColor="text1"/>
          <w:sz w:val="20"/>
          <w:szCs w:val="20"/>
          <w:lang w:val="en-GB"/>
        </w:rPr>
        <w:t>. NSW State Government</w:t>
      </w:r>
    </w:p>
    <w:bookmarkEnd w:id="0"/>
    <w:p w14:paraId="080CBFE3" w14:textId="77777777" w:rsidR="005358C4" w:rsidRPr="009815A0" w:rsidRDefault="005358C4" w:rsidP="005358C4">
      <w:pPr>
        <w:spacing w:before="120" w:after="60" w:line="26" w:lineRule="atLeast"/>
        <w:jc w:val="both"/>
        <w:rPr>
          <w:color w:val="000000" w:themeColor="text1"/>
          <w:sz w:val="20"/>
          <w:szCs w:val="20"/>
        </w:rPr>
      </w:pPr>
      <w:r w:rsidRPr="009815A0">
        <w:rPr>
          <w:color w:val="000000" w:themeColor="text1"/>
          <w:sz w:val="20"/>
          <w:szCs w:val="20"/>
        </w:rPr>
        <w:t xml:space="preserve">New Zealand Family Violence Clearinghouse (2016). </w:t>
      </w:r>
      <w:r w:rsidRPr="002C6E96">
        <w:rPr>
          <w:color w:val="000000" w:themeColor="text1"/>
          <w:sz w:val="20"/>
          <w:szCs w:val="20"/>
          <w:u w:val="single"/>
        </w:rPr>
        <w:t>New Report on Partner and Sexual Violence in Rainbow Communities</w:t>
      </w:r>
    </w:p>
    <w:p w14:paraId="6C2A2B46" w14:textId="77777777" w:rsidR="005358C4" w:rsidRPr="009815A0" w:rsidRDefault="005358C4" w:rsidP="005358C4">
      <w:pPr>
        <w:spacing w:before="120" w:after="60" w:line="26" w:lineRule="atLeast"/>
        <w:jc w:val="both"/>
        <w:rPr>
          <w:color w:val="000000" w:themeColor="text1"/>
          <w:sz w:val="20"/>
          <w:szCs w:val="20"/>
        </w:rPr>
      </w:pPr>
      <w:r w:rsidRPr="009815A0">
        <w:rPr>
          <w:color w:val="000000" w:themeColor="text1"/>
          <w:sz w:val="20"/>
          <w:szCs w:val="20"/>
        </w:rPr>
        <w:t xml:space="preserve">O’Halloran, K. (undated). </w:t>
      </w:r>
      <w:r w:rsidRPr="002C6E96">
        <w:rPr>
          <w:color w:val="000000" w:themeColor="text1"/>
          <w:sz w:val="20"/>
          <w:szCs w:val="20"/>
          <w:u w:val="single"/>
        </w:rPr>
        <w:t>Family Violence in an LGBTIQ Context</w:t>
      </w:r>
      <w:r w:rsidRPr="009815A0">
        <w:rPr>
          <w:color w:val="000000" w:themeColor="text1"/>
          <w:sz w:val="20"/>
          <w:szCs w:val="20"/>
        </w:rPr>
        <w:t>. Domestic Violence Resource Centre of Victoria.</w:t>
      </w:r>
    </w:p>
    <w:p w14:paraId="28CB0508" w14:textId="677FF011" w:rsidR="005358C4" w:rsidRPr="009815A0" w:rsidRDefault="005358C4" w:rsidP="005358C4">
      <w:pPr>
        <w:spacing w:before="120" w:after="60" w:line="26" w:lineRule="atLeast"/>
        <w:jc w:val="both"/>
        <w:rPr>
          <w:color w:val="000000" w:themeColor="text1"/>
          <w:sz w:val="20"/>
          <w:szCs w:val="20"/>
        </w:rPr>
      </w:pPr>
      <w:r w:rsidRPr="009815A0">
        <w:rPr>
          <w:color w:val="000000" w:themeColor="text1"/>
          <w:sz w:val="20"/>
          <w:szCs w:val="20"/>
        </w:rPr>
        <w:t xml:space="preserve">Our Watch (2017). </w:t>
      </w:r>
      <w:r w:rsidRPr="002C6E96">
        <w:rPr>
          <w:color w:val="000000" w:themeColor="text1"/>
          <w:sz w:val="20"/>
          <w:szCs w:val="20"/>
          <w:u w:val="single"/>
        </w:rPr>
        <w:t>Summary Report: primary prevention of family violence against people from LGBTI communities</w:t>
      </w:r>
      <w:r w:rsidRPr="009815A0">
        <w:rPr>
          <w:color w:val="000000" w:themeColor="text1"/>
          <w:sz w:val="20"/>
          <w:szCs w:val="20"/>
        </w:rPr>
        <w:t>. Gay and Lesbian Health Victoria and Victorian State Government</w:t>
      </w:r>
    </w:p>
    <w:p w14:paraId="0F8CCD44" w14:textId="5145E797" w:rsidR="005358C4" w:rsidRPr="009815A0" w:rsidRDefault="005358C4" w:rsidP="005358C4">
      <w:pPr>
        <w:spacing w:before="120" w:after="60" w:line="26" w:lineRule="atLeast"/>
        <w:jc w:val="both"/>
        <w:rPr>
          <w:color w:val="000000" w:themeColor="text1"/>
          <w:sz w:val="20"/>
          <w:szCs w:val="20"/>
        </w:rPr>
      </w:pPr>
      <w:r w:rsidRPr="009815A0">
        <w:rPr>
          <w:color w:val="000000" w:themeColor="text1"/>
          <w:sz w:val="20"/>
          <w:szCs w:val="20"/>
        </w:rPr>
        <w:t>Pitts, M., Smith, A., Mitchell, A. and Patel, S. (2006</w:t>
      </w:r>
      <w:r w:rsidRPr="002C6E96">
        <w:rPr>
          <w:color w:val="000000" w:themeColor="text1"/>
          <w:sz w:val="20"/>
          <w:szCs w:val="20"/>
        </w:rPr>
        <w:t xml:space="preserve">). </w:t>
      </w:r>
      <w:r w:rsidRPr="002C6E96">
        <w:rPr>
          <w:color w:val="000000" w:themeColor="text1"/>
          <w:sz w:val="20"/>
          <w:szCs w:val="20"/>
          <w:u w:val="single"/>
        </w:rPr>
        <w:t>Private Lives: a report on the health and wellbeing of GLBTI Australians</w:t>
      </w:r>
      <w:r w:rsidRPr="009815A0">
        <w:rPr>
          <w:color w:val="000000" w:themeColor="text1"/>
          <w:sz w:val="20"/>
          <w:szCs w:val="20"/>
        </w:rPr>
        <w:t>. Gay and Lesbian Health Victoria</w:t>
      </w:r>
    </w:p>
    <w:p w14:paraId="27AB5683" w14:textId="01D26C24" w:rsidR="005358C4" w:rsidRPr="009815A0" w:rsidRDefault="005358C4" w:rsidP="005358C4">
      <w:pPr>
        <w:spacing w:before="120" w:after="60" w:line="26" w:lineRule="atLeast"/>
        <w:jc w:val="both"/>
        <w:rPr>
          <w:color w:val="000000" w:themeColor="text1"/>
          <w:sz w:val="20"/>
          <w:szCs w:val="20"/>
        </w:rPr>
      </w:pPr>
      <w:r w:rsidRPr="009815A0">
        <w:rPr>
          <w:color w:val="000000" w:themeColor="text1"/>
          <w:sz w:val="20"/>
          <w:szCs w:val="20"/>
        </w:rPr>
        <w:t xml:space="preserve">QLife (undated). </w:t>
      </w:r>
      <w:r w:rsidRPr="009815A0">
        <w:rPr>
          <w:color w:val="000000" w:themeColor="text1"/>
          <w:sz w:val="20"/>
          <w:szCs w:val="20"/>
          <w:u w:val="single"/>
        </w:rPr>
        <w:t>Regional and Rural: a qhealth guide for professionals</w:t>
      </w:r>
      <w:r w:rsidRPr="009815A0">
        <w:rPr>
          <w:color w:val="000000" w:themeColor="text1"/>
          <w:sz w:val="20"/>
          <w:szCs w:val="20"/>
        </w:rPr>
        <w:t>. National LGBTI Health Alliance</w:t>
      </w:r>
    </w:p>
    <w:p w14:paraId="7322AAE4" w14:textId="379A47FC" w:rsidR="005358C4" w:rsidRPr="005358C4" w:rsidRDefault="005358C4" w:rsidP="005358C4">
      <w:pPr>
        <w:spacing w:before="120" w:after="60" w:line="240" w:lineRule="auto"/>
        <w:jc w:val="both"/>
        <w:rPr>
          <w:sz w:val="20"/>
          <w:szCs w:val="20"/>
        </w:rPr>
      </w:pPr>
      <w:r w:rsidRPr="005358C4">
        <w:rPr>
          <w:sz w:val="20"/>
          <w:szCs w:val="20"/>
        </w:rPr>
        <w:t xml:space="preserve">ReachOut (undated). </w:t>
      </w:r>
      <w:r w:rsidRPr="005358C4">
        <w:rPr>
          <w:sz w:val="20"/>
          <w:szCs w:val="20"/>
          <w:u w:val="single"/>
        </w:rPr>
        <w:t>The insider’s guide to being LGBTQIA+ in rural and remote area</w:t>
      </w:r>
      <w:r w:rsidR="00375321">
        <w:rPr>
          <w:sz w:val="20"/>
          <w:szCs w:val="20"/>
          <w:u w:val="single"/>
        </w:rPr>
        <w:t>s</w:t>
      </w:r>
    </w:p>
    <w:p w14:paraId="1402DBBA" w14:textId="45CBD43F" w:rsidR="005358C4" w:rsidRPr="009815A0" w:rsidRDefault="005358C4" w:rsidP="005358C4">
      <w:pPr>
        <w:spacing w:before="120" w:after="60" w:line="26" w:lineRule="atLeast"/>
        <w:jc w:val="both"/>
        <w:rPr>
          <w:color w:val="000000" w:themeColor="text1"/>
          <w:sz w:val="20"/>
          <w:szCs w:val="20"/>
          <w:lang w:val="en-GB"/>
        </w:rPr>
      </w:pPr>
      <w:proofErr w:type="spellStart"/>
      <w:r w:rsidRPr="009815A0">
        <w:rPr>
          <w:color w:val="000000" w:themeColor="text1"/>
          <w:sz w:val="20"/>
          <w:szCs w:val="20"/>
          <w:lang w:val="en-GB"/>
        </w:rPr>
        <w:t>Renzetti</w:t>
      </w:r>
      <w:proofErr w:type="spellEnd"/>
      <w:r w:rsidRPr="009815A0">
        <w:rPr>
          <w:color w:val="000000" w:themeColor="text1"/>
          <w:sz w:val="20"/>
          <w:szCs w:val="20"/>
          <w:lang w:val="en-GB"/>
        </w:rPr>
        <w:t>, C. (1994)</w:t>
      </w:r>
      <w:r w:rsidR="001978F2">
        <w:rPr>
          <w:color w:val="000000" w:themeColor="text1"/>
          <w:sz w:val="20"/>
          <w:szCs w:val="20"/>
          <w:lang w:val="en-GB"/>
        </w:rPr>
        <w:t>.</w:t>
      </w:r>
      <w:r w:rsidRPr="009815A0">
        <w:rPr>
          <w:color w:val="000000" w:themeColor="text1"/>
          <w:sz w:val="20"/>
          <w:szCs w:val="20"/>
          <w:lang w:val="en-GB"/>
        </w:rPr>
        <w:t xml:space="preserve"> </w:t>
      </w:r>
      <w:r w:rsidRPr="00375321">
        <w:rPr>
          <w:color w:val="000000" w:themeColor="text1"/>
          <w:sz w:val="20"/>
          <w:szCs w:val="20"/>
          <w:lang w:val="en-GB"/>
        </w:rPr>
        <w:t>On Dancing with a Bear: reflections on current debates among domestic violence theorists</w:t>
      </w:r>
      <w:r w:rsidRPr="009815A0">
        <w:rPr>
          <w:color w:val="000000" w:themeColor="text1"/>
          <w:sz w:val="20"/>
          <w:szCs w:val="20"/>
          <w:lang w:val="en-GB"/>
        </w:rPr>
        <w:t xml:space="preserve">. </w:t>
      </w:r>
      <w:r w:rsidRPr="00375321">
        <w:rPr>
          <w:color w:val="000000" w:themeColor="text1"/>
          <w:sz w:val="20"/>
          <w:szCs w:val="20"/>
          <w:u w:val="single"/>
          <w:lang w:val="en-GB"/>
        </w:rPr>
        <w:t>Violence and Victims</w:t>
      </w:r>
      <w:r w:rsidR="00375321">
        <w:rPr>
          <w:color w:val="000000" w:themeColor="text1"/>
          <w:sz w:val="20"/>
          <w:szCs w:val="20"/>
          <w:lang w:val="en-GB"/>
        </w:rPr>
        <w:t>.</w:t>
      </w:r>
      <w:r w:rsidRPr="009815A0">
        <w:rPr>
          <w:color w:val="000000" w:themeColor="text1"/>
          <w:sz w:val="20"/>
          <w:szCs w:val="20"/>
          <w:lang w:val="en-GB"/>
        </w:rPr>
        <w:t xml:space="preserve"> Vol. 9, No. 2, pp. 195-202</w:t>
      </w:r>
    </w:p>
    <w:p w14:paraId="4CB41B74" w14:textId="3229BC3B" w:rsidR="005358C4" w:rsidRPr="009815A0" w:rsidRDefault="005358C4" w:rsidP="005358C4">
      <w:pPr>
        <w:spacing w:before="120" w:after="60" w:line="26" w:lineRule="atLeast"/>
        <w:jc w:val="both"/>
        <w:rPr>
          <w:color w:val="000000" w:themeColor="text1"/>
          <w:sz w:val="20"/>
          <w:szCs w:val="20"/>
        </w:rPr>
      </w:pPr>
      <w:r w:rsidRPr="009815A0">
        <w:rPr>
          <w:color w:val="000000" w:themeColor="text1"/>
          <w:sz w:val="20"/>
          <w:szCs w:val="20"/>
        </w:rPr>
        <w:t xml:space="preserve">Ristok, J. (2002). </w:t>
      </w:r>
      <w:r w:rsidRPr="002C6E96">
        <w:rPr>
          <w:color w:val="000000" w:themeColor="text1"/>
          <w:sz w:val="20"/>
          <w:szCs w:val="20"/>
          <w:u w:val="single"/>
        </w:rPr>
        <w:t>No More Secrets: violence in lesbian relationships</w:t>
      </w:r>
    </w:p>
    <w:p w14:paraId="348E036A" w14:textId="042074C2" w:rsidR="005358C4" w:rsidRPr="009815A0" w:rsidRDefault="005358C4" w:rsidP="005358C4">
      <w:pPr>
        <w:spacing w:before="120" w:after="60" w:line="26" w:lineRule="atLeast"/>
        <w:jc w:val="both"/>
        <w:rPr>
          <w:color w:val="000000" w:themeColor="text1"/>
          <w:sz w:val="20"/>
          <w:szCs w:val="20"/>
        </w:rPr>
      </w:pPr>
      <w:r w:rsidRPr="009815A0">
        <w:rPr>
          <w:color w:val="000000" w:themeColor="text1"/>
          <w:sz w:val="20"/>
          <w:szCs w:val="20"/>
        </w:rPr>
        <w:t xml:space="preserve">Rolle, L. Giardina, G., </w:t>
      </w:r>
      <w:proofErr w:type="spellStart"/>
      <w:r w:rsidRPr="009815A0">
        <w:rPr>
          <w:color w:val="000000" w:themeColor="text1"/>
          <w:sz w:val="20"/>
          <w:szCs w:val="20"/>
        </w:rPr>
        <w:t>Caldarera</w:t>
      </w:r>
      <w:proofErr w:type="spellEnd"/>
      <w:r w:rsidRPr="009815A0">
        <w:rPr>
          <w:color w:val="000000" w:themeColor="text1"/>
          <w:sz w:val="20"/>
          <w:szCs w:val="20"/>
        </w:rPr>
        <w:t xml:space="preserve">, A.M., </w:t>
      </w:r>
      <w:proofErr w:type="spellStart"/>
      <w:r w:rsidRPr="009815A0">
        <w:rPr>
          <w:color w:val="000000" w:themeColor="text1"/>
          <w:sz w:val="20"/>
          <w:szCs w:val="20"/>
        </w:rPr>
        <w:t>Gerino</w:t>
      </w:r>
      <w:proofErr w:type="spellEnd"/>
      <w:r w:rsidRPr="009815A0">
        <w:rPr>
          <w:color w:val="000000" w:themeColor="text1"/>
          <w:sz w:val="20"/>
          <w:szCs w:val="20"/>
        </w:rPr>
        <w:t xml:space="preserve">, E. and </w:t>
      </w:r>
      <w:proofErr w:type="spellStart"/>
      <w:r w:rsidRPr="009815A0">
        <w:rPr>
          <w:color w:val="000000" w:themeColor="text1"/>
          <w:sz w:val="20"/>
          <w:szCs w:val="20"/>
        </w:rPr>
        <w:t>Brustia</w:t>
      </w:r>
      <w:proofErr w:type="spellEnd"/>
      <w:r w:rsidRPr="009815A0">
        <w:rPr>
          <w:color w:val="000000" w:themeColor="text1"/>
          <w:sz w:val="20"/>
          <w:szCs w:val="20"/>
        </w:rPr>
        <w:t xml:space="preserve">, P. (2018). </w:t>
      </w:r>
      <w:r w:rsidRPr="00375321">
        <w:rPr>
          <w:color w:val="000000" w:themeColor="text1"/>
          <w:sz w:val="20"/>
          <w:szCs w:val="20"/>
        </w:rPr>
        <w:t>When Intimate Partner Violence Meets Same Sex Couples: a review of same sex intimate partner violence</w:t>
      </w:r>
      <w:r w:rsidRPr="009815A0">
        <w:rPr>
          <w:color w:val="000000" w:themeColor="text1"/>
          <w:sz w:val="20"/>
          <w:szCs w:val="20"/>
        </w:rPr>
        <w:t xml:space="preserve">. </w:t>
      </w:r>
      <w:r w:rsidRPr="00375321">
        <w:rPr>
          <w:color w:val="000000" w:themeColor="text1"/>
          <w:sz w:val="20"/>
          <w:szCs w:val="20"/>
          <w:u w:val="single"/>
        </w:rPr>
        <w:t>Frontiers of Psychology</w:t>
      </w:r>
      <w:r w:rsidR="00375321">
        <w:rPr>
          <w:color w:val="000000" w:themeColor="text1"/>
          <w:sz w:val="20"/>
          <w:szCs w:val="20"/>
        </w:rPr>
        <w:t>.</w:t>
      </w:r>
      <w:r w:rsidRPr="009815A0">
        <w:rPr>
          <w:color w:val="000000" w:themeColor="text1"/>
          <w:sz w:val="20"/>
          <w:szCs w:val="20"/>
        </w:rPr>
        <w:t xml:space="preserve"> Vol. 9, pp. 1506</w:t>
      </w:r>
    </w:p>
    <w:p w14:paraId="4725BDEB" w14:textId="1E3DA94B" w:rsidR="005358C4" w:rsidRPr="009815A0" w:rsidRDefault="005358C4" w:rsidP="005358C4">
      <w:pPr>
        <w:spacing w:before="120" w:after="60" w:line="26" w:lineRule="atLeast"/>
        <w:jc w:val="both"/>
        <w:rPr>
          <w:color w:val="000000" w:themeColor="text1"/>
          <w:sz w:val="20"/>
          <w:szCs w:val="20"/>
        </w:rPr>
      </w:pPr>
      <w:r w:rsidRPr="009815A0">
        <w:rPr>
          <w:color w:val="000000" w:themeColor="text1"/>
          <w:sz w:val="20"/>
          <w:szCs w:val="20"/>
        </w:rPr>
        <w:t xml:space="preserve">Selinger-Morris, S. (2018). </w:t>
      </w:r>
      <w:r w:rsidRPr="002C6E96">
        <w:rPr>
          <w:color w:val="000000" w:themeColor="text1"/>
          <w:sz w:val="20"/>
          <w:szCs w:val="20"/>
          <w:u w:val="single"/>
        </w:rPr>
        <w:t>The ‘Revolutionary’ Programs Giving Hope to LGBT Domestic Violence Survivors</w:t>
      </w:r>
      <w:r w:rsidRPr="009815A0">
        <w:rPr>
          <w:color w:val="000000" w:themeColor="text1"/>
          <w:sz w:val="20"/>
          <w:szCs w:val="20"/>
        </w:rPr>
        <w:t xml:space="preserve">. ABC News, 12 </w:t>
      </w:r>
      <w:proofErr w:type="gramStart"/>
      <w:r w:rsidRPr="009815A0">
        <w:rPr>
          <w:color w:val="000000" w:themeColor="text1"/>
          <w:sz w:val="20"/>
          <w:szCs w:val="20"/>
        </w:rPr>
        <w:t>July,</w:t>
      </w:r>
      <w:proofErr w:type="gramEnd"/>
      <w:r w:rsidRPr="009815A0">
        <w:rPr>
          <w:color w:val="000000" w:themeColor="text1"/>
          <w:sz w:val="20"/>
          <w:szCs w:val="20"/>
        </w:rPr>
        <w:t xml:space="preserve"> 2018</w:t>
      </w:r>
    </w:p>
    <w:p w14:paraId="0DF3B3FF" w14:textId="35841117" w:rsidR="005358C4" w:rsidRPr="009815A0" w:rsidRDefault="005358C4" w:rsidP="005358C4">
      <w:pPr>
        <w:spacing w:before="120" w:after="60" w:line="26" w:lineRule="atLeast"/>
        <w:jc w:val="both"/>
        <w:rPr>
          <w:color w:val="000000" w:themeColor="text1"/>
          <w:sz w:val="20"/>
          <w:szCs w:val="20"/>
        </w:rPr>
      </w:pPr>
      <w:r w:rsidRPr="009815A0">
        <w:rPr>
          <w:color w:val="000000" w:themeColor="text1"/>
          <w:sz w:val="20"/>
          <w:szCs w:val="20"/>
        </w:rPr>
        <w:t xml:space="preserve">Smith, E., Jones, T., Ward, R., Dixon, J., Mitchell, A. and Hillier, L. (2014). </w:t>
      </w:r>
      <w:r w:rsidRPr="002C6E96">
        <w:rPr>
          <w:color w:val="000000" w:themeColor="text1"/>
          <w:sz w:val="20"/>
          <w:szCs w:val="20"/>
          <w:u w:val="single"/>
        </w:rPr>
        <w:t>From Blues to Rainbows: the mental health and well-being of gender diverse and transgender young people</w:t>
      </w:r>
      <w:r w:rsidRPr="009815A0">
        <w:rPr>
          <w:color w:val="000000" w:themeColor="text1"/>
          <w:sz w:val="20"/>
          <w:szCs w:val="20"/>
        </w:rPr>
        <w:t>. Australian Research Centre in Sex, Health and Society</w:t>
      </w:r>
    </w:p>
    <w:p w14:paraId="76214A58" w14:textId="158736CF" w:rsidR="005358C4" w:rsidRPr="009815A0" w:rsidRDefault="005358C4" w:rsidP="005358C4">
      <w:pPr>
        <w:spacing w:before="120" w:after="60" w:line="26" w:lineRule="atLeast"/>
        <w:jc w:val="both"/>
        <w:rPr>
          <w:color w:val="000000" w:themeColor="text1"/>
          <w:sz w:val="20"/>
          <w:szCs w:val="20"/>
        </w:rPr>
      </w:pPr>
      <w:r w:rsidRPr="009815A0">
        <w:rPr>
          <w:color w:val="000000" w:themeColor="text1"/>
          <w:sz w:val="20"/>
          <w:szCs w:val="20"/>
        </w:rPr>
        <w:t>Snapp, S., Watson, R., Russell, S., Diaz, R., Ryan, C. (2015). Social Support Networks for LGBT Young Adults -</w:t>
      </w:r>
      <w:r w:rsidR="00375321">
        <w:rPr>
          <w:color w:val="000000" w:themeColor="text1"/>
          <w:sz w:val="20"/>
          <w:szCs w:val="20"/>
        </w:rPr>
        <w:t xml:space="preserve"> </w:t>
      </w:r>
      <w:r w:rsidRPr="009815A0">
        <w:rPr>
          <w:color w:val="000000" w:themeColor="text1"/>
          <w:sz w:val="20"/>
          <w:szCs w:val="20"/>
        </w:rPr>
        <w:t xml:space="preserve">Low-cost Strategies for Positive Adjustment. </w:t>
      </w:r>
      <w:r w:rsidRPr="009815A0">
        <w:rPr>
          <w:color w:val="000000" w:themeColor="text1"/>
          <w:sz w:val="20"/>
          <w:szCs w:val="20"/>
          <w:u w:val="single"/>
        </w:rPr>
        <w:t>Family Relations</w:t>
      </w:r>
      <w:r w:rsidRPr="009815A0">
        <w:rPr>
          <w:color w:val="000000" w:themeColor="text1"/>
          <w:sz w:val="20"/>
          <w:szCs w:val="20"/>
        </w:rPr>
        <w:t>. Vol. 64, No. 3, pp. 420-430</w:t>
      </w:r>
    </w:p>
    <w:p w14:paraId="762E0DD2" w14:textId="324EEF9A" w:rsidR="005358C4" w:rsidRPr="009815A0" w:rsidRDefault="005358C4" w:rsidP="005358C4">
      <w:pPr>
        <w:spacing w:before="120" w:after="60" w:line="26" w:lineRule="atLeast"/>
        <w:jc w:val="both"/>
        <w:rPr>
          <w:color w:val="000000" w:themeColor="text1"/>
          <w:sz w:val="20"/>
          <w:szCs w:val="20"/>
        </w:rPr>
      </w:pPr>
      <w:r w:rsidRPr="009815A0">
        <w:rPr>
          <w:color w:val="000000" w:themeColor="text1"/>
          <w:sz w:val="20"/>
          <w:szCs w:val="20"/>
        </w:rPr>
        <w:t xml:space="preserve">Stephenson, R. and Finneran, C. (2017). Minority Stress and Intimate Partner Violence Among Gay and Bisexual Men in Atlanta. </w:t>
      </w:r>
      <w:r w:rsidRPr="002C6E96">
        <w:rPr>
          <w:color w:val="000000" w:themeColor="text1"/>
          <w:sz w:val="20"/>
          <w:szCs w:val="20"/>
          <w:u w:val="single"/>
        </w:rPr>
        <w:t>American Journal of Men’s Health</w:t>
      </w:r>
      <w:r w:rsidR="0024542C">
        <w:rPr>
          <w:color w:val="000000" w:themeColor="text1"/>
          <w:sz w:val="20"/>
          <w:szCs w:val="20"/>
        </w:rPr>
        <w:t>.</w:t>
      </w:r>
      <w:r w:rsidRPr="009815A0">
        <w:rPr>
          <w:color w:val="000000" w:themeColor="text1"/>
          <w:sz w:val="20"/>
          <w:szCs w:val="20"/>
        </w:rPr>
        <w:t xml:space="preserve"> July, Vol. 11, No. 4, pp. 952-961</w:t>
      </w:r>
    </w:p>
    <w:p w14:paraId="124E2FB6" w14:textId="6AAFB356" w:rsidR="005358C4" w:rsidRPr="009815A0" w:rsidRDefault="005358C4" w:rsidP="005358C4">
      <w:pPr>
        <w:spacing w:before="120" w:after="60" w:line="26" w:lineRule="atLeast"/>
        <w:jc w:val="both"/>
        <w:rPr>
          <w:color w:val="000000" w:themeColor="text1"/>
          <w:sz w:val="20"/>
          <w:szCs w:val="20"/>
          <w:lang w:val="en-GB"/>
        </w:rPr>
      </w:pPr>
      <w:r w:rsidRPr="009815A0">
        <w:rPr>
          <w:color w:val="000000" w:themeColor="text1"/>
          <w:sz w:val="20"/>
          <w:szCs w:val="20"/>
          <w:lang w:val="en-GB"/>
        </w:rPr>
        <w:t xml:space="preserve">Strauss, P., Cook, A., Winter, S., Watson, V., Wright Toussaint, D., Lin, A. (2017). </w:t>
      </w:r>
      <w:r w:rsidRPr="009815A0">
        <w:rPr>
          <w:color w:val="000000" w:themeColor="text1"/>
          <w:sz w:val="20"/>
          <w:szCs w:val="20"/>
          <w:u w:val="single"/>
          <w:lang w:val="en-GB"/>
        </w:rPr>
        <w:t>Trans Pathways: the mental health experiences and care pathways of trans young people: summary of results</w:t>
      </w:r>
      <w:r w:rsidRPr="009815A0">
        <w:rPr>
          <w:color w:val="000000" w:themeColor="text1"/>
          <w:sz w:val="20"/>
          <w:szCs w:val="20"/>
          <w:lang w:val="en-GB"/>
        </w:rPr>
        <w:t>. Telethon Kids Institute, Perth</w:t>
      </w:r>
      <w:r w:rsidR="00375321">
        <w:rPr>
          <w:color w:val="000000" w:themeColor="text1"/>
          <w:sz w:val="20"/>
          <w:szCs w:val="20"/>
          <w:lang w:val="en-GB"/>
        </w:rPr>
        <w:t>.</w:t>
      </w:r>
    </w:p>
    <w:p w14:paraId="5C891475" w14:textId="0626E72C" w:rsidR="005358C4" w:rsidRPr="009815A0" w:rsidRDefault="005358C4" w:rsidP="005358C4">
      <w:pPr>
        <w:spacing w:before="120" w:after="60" w:line="26" w:lineRule="atLeast"/>
        <w:jc w:val="both"/>
        <w:rPr>
          <w:color w:val="000000" w:themeColor="text1"/>
          <w:sz w:val="20"/>
          <w:szCs w:val="20"/>
        </w:rPr>
      </w:pPr>
      <w:r w:rsidRPr="009815A0">
        <w:rPr>
          <w:color w:val="000000" w:themeColor="text1"/>
          <w:sz w:val="20"/>
          <w:szCs w:val="20"/>
        </w:rPr>
        <w:t xml:space="preserve">Stuart, S. (2018). </w:t>
      </w:r>
      <w:r w:rsidRPr="002C6E96">
        <w:rPr>
          <w:color w:val="000000" w:themeColor="text1"/>
          <w:sz w:val="20"/>
          <w:szCs w:val="20"/>
          <w:u w:val="single"/>
        </w:rPr>
        <w:t>Domestic Violence in Rainbow Families</w:t>
      </w:r>
      <w:r w:rsidRPr="009815A0">
        <w:rPr>
          <w:color w:val="000000" w:themeColor="text1"/>
          <w:sz w:val="20"/>
          <w:szCs w:val="20"/>
        </w:rPr>
        <w:t>. University of Queensland</w:t>
      </w:r>
    </w:p>
    <w:p w14:paraId="11E2C751" w14:textId="77777777" w:rsidR="005358C4" w:rsidRPr="009815A0" w:rsidRDefault="005358C4" w:rsidP="005358C4">
      <w:pPr>
        <w:spacing w:before="120" w:after="60" w:line="26" w:lineRule="atLeast"/>
        <w:jc w:val="both"/>
        <w:rPr>
          <w:color w:val="000000" w:themeColor="text1"/>
          <w:sz w:val="20"/>
          <w:szCs w:val="20"/>
          <w:lang w:val="en-GB"/>
        </w:rPr>
      </w:pPr>
      <w:r w:rsidRPr="009815A0">
        <w:rPr>
          <w:color w:val="000000" w:themeColor="text1"/>
          <w:sz w:val="20"/>
          <w:szCs w:val="20"/>
          <w:lang w:val="en-GB"/>
        </w:rPr>
        <w:t xml:space="preserve">The Equity Project (2020). </w:t>
      </w:r>
      <w:r w:rsidRPr="009815A0">
        <w:rPr>
          <w:color w:val="000000" w:themeColor="text1"/>
          <w:sz w:val="20"/>
          <w:szCs w:val="20"/>
          <w:u w:val="single"/>
          <w:lang w:val="en-GB"/>
        </w:rPr>
        <w:t>Australian LGTQI and Policy Guide 2020</w:t>
      </w:r>
      <w:r w:rsidRPr="009815A0">
        <w:rPr>
          <w:color w:val="000000" w:themeColor="text1"/>
          <w:sz w:val="20"/>
          <w:szCs w:val="20"/>
          <w:lang w:val="en-GB"/>
        </w:rPr>
        <w:t>. The Equality Project</w:t>
      </w:r>
    </w:p>
    <w:p w14:paraId="440516BD" w14:textId="717FE9B1" w:rsidR="005358C4" w:rsidRPr="009815A0" w:rsidRDefault="005358C4" w:rsidP="005358C4">
      <w:pPr>
        <w:spacing w:before="120" w:after="60" w:line="26" w:lineRule="atLeast"/>
        <w:jc w:val="both"/>
        <w:rPr>
          <w:color w:val="000000" w:themeColor="text1"/>
          <w:sz w:val="20"/>
          <w:szCs w:val="20"/>
        </w:rPr>
      </w:pPr>
      <w:r w:rsidRPr="009815A0">
        <w:rPr>
          <w:color w:val="000000" w:themeColor="text1"/>
          <w:sz w:val="20"/>
          <w:szCs w:val="20"/>
        </w:rPr>
        <w:t xml:space="preserve">Toesland, F. (2020). </w:t>
      </w:r>
      <w:r w:rsidRPr="001978F2">
        <w:rPr>
          <w:color w:val="000000" w:themeColor="text1"/>
          <w:sz w:val="20"/>
          <w:szCs w:val="20"/>
          <w:u w:val="single"/>
        </w:rPr>
        <w:t>Coronavirus Restrictions Highlight LGBTQ Domestic Abuse</w:t>
      </w:r>
      <w:r w:rsidRPr="009815A0">
        <w:rPr>
          <w:color w:val="000000" w:themeColor="text1"/>
          <w:sz w:val="20"/>
          <w:szCs w:val="20"/>
        </w:rPr>
        <w:t>. Out Health and Wellness.</w:t>
      </w:r>
    </w:p>
    <w:p w14:paraId="216D6822" w14:textId="5A234126" w:rsidR="00AA1180" w:rsidRDefault="00AA1180" w:rsidP="005358C4">
      <w:pPr>
        <w:spacing w:before="120" w:after="60" w:line="26" w:lineRule="atLeast"/>
        <w:jc w:val="both"/>
        <w:rPr>
          <w:color w:val="000000" w:themeColor="text1"/>
          <w:sz w:val="20"/>
          <w:szCs w:val="20"/>
          <w:lang w:val="en-GB"/>
        </w:rPr>
      </w:pPr>
      <w:r>
        <w:rPr>
          <w:color w:val="000000" w:themeColor="text1"/>
          <w:sz w:val="20"/>
          <w:szCs w:val="20"/>
          <w:lang w:val="en-GB"/>
        </w:rPr>
        <w:t xml:space="preserve">VicHealth (2020). </w:t>
      </w:r>
      <w:r w:rsidRPr="00AA1180">
        <w:rPr>
          <w:color w:val="000000" w:themeColor="text1"/>
          <w:sz w:val="20"/>
          <w:szCs w:val="20"/>
          <w:u w:val="single"/>
          <w:lang w:val="en-GB"/>
        </w:rPr>
        <w:t>Unpacking the Man Box: what is the impact of the Man Box attitudes on young Austra</w:t>
      </w:r>
      <w:r w:rsidR="00375321">
        <w:rPr>
          <w:color w:val="000000" w:themeColor="text1"/>
          <w:sz w:val="20"/>
          <w:szCs w:val="20"/>
          <w:u w:val="single"/>
          <w:lang w:val="en-GB"/>
        </w:rPr>
        <w:t>l</w:t>
      </w:r>
      <w:r w:rsidRPr="00AA1180">
        <w:rPr>
          <w:color w:val="000000" w:themeColor="text1"/>
          <w:sz w:val="20"/>
          <w:szCs w:val="20"/>
          <w:u w:val="single"/>
          <w:lang w:val="en-GB"/>
        </w:rPr>
        <w:t>ian men’s behaviours and well-being?</w:t>
      </w:r>
      <w:r>
        <w:rPr>
          <w:color w:val="000000" w:themeColor="text1"/>
          <w:sz w:val="20"/>
          <w:szCs w:val="20"/>
          <w:lang w:val="en-GB"/>
        </w:rPr>
        <w:t xml:space="preserve"> Jesuit Social Services and </w:t>
      </w:r>
      <w:proofErr w:type="spellStart"/>
      <w:r>
        <w:rPr>
          <w:color w:val="000000" w:themeColor="text1"/>
          <w:sz w:val="20"/>
          <w:szCs w:val="20"/>
          <w:lang w:val="en-GB"/>
        </w:rPr>
        <w:t>VicHeath</w:t>
      </w:r>
      <w:proofErr w:type="spellEnd"/>
      <w:r>
        <w:rPr>
          <w:color w:val="000000" w:themeColor="text1"/>
          <w:sz w:val="20"/>
          <w:szCs w:val="20"/>
          <w:lang w:val="en-GB"/>
        </w:rPr>
        <w:t>.</w:t>
      </w:r>
    </w:p>
    <w:p w14:paraId="12461FDD" w14:textId="2149A5E1" w:rsidR="005358C4" w:rsidRPr="009815A0" w:rsidRDefault="005358C4" w:rsidP="005358C4">
      <w:pPr>
        <w:spacing w:before="120" w:after="60" w:line="26" w:lineRule="atLeast"/>
        <w:jc w:val="both"/>
        <w:rPr>
          <w:color w:val="000000" w:themeColor="text1"/>
          <w:sz w:val="20"/>
          <w:szCs w:val="20"/>
          <w:lang w:val="en-GB"/>
        </w:rPr>
      </w:pPr>
      <w:r w:rsidRPr="009815A0">
        <w:rPr>
          <w:color w:val="000000" w:themeColor="text1"/>
          <w:sz w:val="20"/>
          <w:szCs w:val="20"/>
          <w:lang w:val="en-GB"/>
        </w:rPr>
        <w:t xml:space="preserve">Victoria Police (2020). </w:t>
      </w:r>
      <w:r w:rsidRPr="009815A0">
        <w:rPr>
          <w:color w:val="000000" w:themeColor="text1"/>
          <w:sz w:val="20"/>
          <w:szCs w:val="20"/>
          <w:u w:val="single"/>
          <w:lang w:val="en-GB"/>
        </w:rPr>
        <w:t>LGBTIQ Liaison Officers</w:t>
      </w:r>
      <w:r w:rsidRPr="009815A0">
        <w:rPr>
          <w:color w:val="000000" w:themeColor="text1"/>
          <w:sz w:val="20"/>
          <w:szCs w:val="20"/>
          <w:lang w:val="en-GB"/>
        </w:rPr>
        <w:t xml:space="preserve">. Accessed at: </w:t>
      </w:r>
      <w:hyperlink r:id="rId23" w:history="1">
        <w:r w:rsidRPr="009815A0">
          <w:rPr>
            <w:color w:val="000000" w:themeColor="text1"/>
            <w:sz w:val="20"/>
            <w:szCs w:val="20"/>
            <w:lang w:val="en-GB"/>
          </w:rPr>
          <w:t>https://www.police.vic.gov.au/LGBTIQ-liaison-officers</w:t>
        </w:r>
      </w:hyperlink>
    </w:p>
    <w:p w14:paraId="13C42D2D" w14:textId="77777777" w:rsidR="00A83688" w:rsidRDefault="00A83688" w:rsidP="005358C4">
      <w:pPr>
        <w:spacing w:before="120" w:after="60" w:line="26" w:lineRule="atLeast"/>
        <w:jc w:val="both"/>
        <w:rPr>
          <w:color w:val="000000" w:themeColor="text1"/>
          <w:sz w:val="20"/>
          <w:szCs w:val="20"/>
          <w:lang w:val="en-GB"/>
        </w:rPr>
      </w:pPr>
      <w:r w:rsidRPr="00A83688">
        <w:rPr>
          <w:color w:val="000000" w:themeColor="text1"/>
          <w:sz w:val="20"/>
          <w:szCs w:val="20"/>
          <w:lang w:val="en-GB"/>
        </w:rPr>
        <w:t xml:space="preserve">Victorian Agency for Health Information (2020). </w:t>
      </w:r>
      <w:r w:rsidRPr="00A83688">
        <w:rPr>
          <w:color w:val="000000" w:themeColor="text1"/>
          <w:sz w:val="20"/>
          <w:szCs w:val="20"/>
          <w:u w:val="single"/>
          <w:lang w:val="en-GB"/>
        </w:rPr>
        <w:t xml:space="preserve">The health and wellbeing of the lesbian, gay, bisexual, transgender, </w:t>
      </w:r>
      <w:proofErr w:type="gramStart"/>
      <w:r w:rsidRPr="00A83688">
        <w:rPr>
          <w:color w:val="000000" w:themeColor="text1"/>
          <w:sz w:val="20"/>
          <w:szCs w:val="20"/>
          <w:u w:val="single"/>
          <w:lang w:val="en-GB"/>
        </w:rPr>
        <w:t>intersex</w:t>
      </w:r>
      <w:proofErr w:type="gramEnd"/>
      <w:r w:rsidRPr="00A83688">
        <w:rPr>
          <w:color w:val="000000" w:themeColor="text1"/>
          <w:sz w:val="20"/>
          <w:szCs w:val="20"/>
          <w:u w:val="single"/>
          <w:lang w:val="en-GB"/>
        </w:rPr>
        <w:t xml:space="preserve"> and queer population in Victoria: Findings from the Victorian Population Health Survey 2017</w:t>
      </w:r>
      <w:r w:rsidRPr="00A83688">
        <w:rPr>
          <w:color w:val="000000" w:themeColor="text1"/>
          <w:sz w:val="20"/>
          <w:szCs w:val="20"/>
          <w:lang w:val="en-GB"/>
        </w:rPr>
        <w:t>. Melbourne.</w:t>
      </w:r>
    </w:p>
    <w:p w14:paraId="2741148A" w14:textId="5BCAF274" w:rsidR="005358C4" w:rsidRPr="009815A0" w:rsidRDefault="005358C4" w:rsidP="005358C4">
      <w:pPr>
        <w:spacing w:before="120" w:after="60" w:line="26" w:lineRule="atLeast"/>
        <w:jc w:val="both"/>
        <w:rPr>
          <w:color w:val="000000" w:themeColor="text1"/>
          <w:sz w:val="20"/>
          <w:szCs w:val="20"/>
          <w:lang w:val="en-GB"/>
        </w:rPr>
      </w:pPr>
      <w:r w:rsidRPr="009815A0">
        <w:rPr>
          <w:color w:val="000000" w:themeColor="text1"/>
          <w:sz w:val="20"/>
          <w:szCs w:val="20"/>
          <w:lang w:val="en-GB"/>
        </w:rPr>
        <w:t xml:space="preserve">Victorian Government (2016). </w:t>
      </w:r>
      <w:r w:rsidRPr="009815A0">
        <w:rPr>
          <w:color w:val="000000" w:themeColor="text1"/>
          <w:sz w:val="20"/>
          <w:szCs w:val="20"/>
          <w:u w:val="single"/>
          <w:lang w:val="en-GB"/>
        </w:rPr>
        <w:t>Victorian Royal Commission into Family Violence</w:t>
      </w:r>
      <w:r w:rsidRPr="009815A0">
        <w:rPr>
          <w:color w:val="000000" w:themeColor="text1"/>
          <w:sz w:val="20"/>
          <w:szCs w:val="20"/>
          <w:lang w:val="en-GB"/>
        </w:rPr>
        <w:t>. Victorian Government, Melbourne</w:t>
      </w:r>
    </w:p>
    <w:p w14:paraId="06BDAEE7" w14:textId="53352A61" w:rsidR="005358C4" w:rsidRPr="009815A0" w:rsidRDefault="005358C4" w:rsidP="005358C4">
      <w:pPr>
        <w:spacing w:before="120" w:after="60" w:line="26" w:lineRule="atLeast"/>
        <w:jc w:val="both"/>
        <w:rPr>
          <w:color w:val="000000" w:themeColor="text1"/>
          <w:sz w:val="20"/>
          <w:szCs w:val="20"/>
        </w:rPr>
      </w:pPr>
      <w:r w:rsidRPr="009815A0">
        <w:rPr>
          <w:color w:val="000000" w:themeColor="text1"/>
          <w:sz w:val="20"/>
          <w:szCs w:val="20"/>
        </w:rPr>
        <w:t xml:space="preserve">Waling, A., Kerr, L., Fraser, S., Bourne, A. and Carman, M. (2019). </w:t>
      </w:r>
      <w:r w:rsidRPr="002C6E96">
        <w:rPr>
          <w:color w:val="000000" w:themeColor="text1"/>
          <w:sz w:val="20"/>
          <w:szCs w:val="20"/>
          <w:u w:val="single"/>
        </w:rPr>
        <w:t>Young People, Sexual Literacy, and Sources of Knowledge: a review</w:t>
      </w:r>
      <w:r w:rsidRPr="009815A0">
        <w:rPr>
          <w:color w:val="000000" w:themeColor="text1"/>
          <w:sz w:val="20"/>
          <w:szCs w:val="20"/>
        </w:rPr>
        <w:t xml:space="preserve">. </w:t>
      </w:r>
      <w:proofErr w:type="spellStart"/>
      <w:r w:rsidRPr="009815A0">
        <w:rPr>
          <w:color w:val="000000" w:themeColor="text1"/>
          <w:sz w:val="20"/>
          <w:szCs w:val="20"/>
        </w:rPr>
        <w:t>LaTrobe</w:t>
      </w:r>
      <w:proofErr w:type="spellEnd"/>
      <w:r w:rsidRPr="009815A0">
        <w:rPr>
          <w:color w:val="000000" w:themeColor="text1"/>
          <w:sz w:val="20"/>
          <w:szCs w:val="20"/>
        </w:rPr>
        <w:t xml:space="preserve"> University</w:t>
      </w:r>
    </w:p>
    <w:p w14:paraId="6A49F66D" w14:textId="39A7A77A" w:rsidR="005358C4" w:rsidRPr="009815A0" w:rsidRDefault="005358C4" w:rsidP="009815A0">
      <w:pPr>
        <w:spacing w:before="120" w:after="60" w:line="26" w:lineRule="atLeast"/>
        <w:jc w:val="both"/>
        <w:rPr>
          <w:color w:val="000000" w:themeColor="text1"/>
          <w:sz w:val="20"/>
          <w:szCs w:val="20"/>
        </w:rPr>
      </w:pPr>
      <w:r w:rsidRPr="009815A0">
        <w:rPr>
          <w:color w:val="000000" w:themeColor="text1"/>
          <w:sz w:val="20"/>
          <w:szCs w:val="20"/>
        </w:rPr>
        <w:t xml:space="preserve">Witoslawski, A. (2020). </w:t>
      </w:r>
      <w:r w:rsidRPr="009815A0">
        <w:rPr>
          <w:color w:val="000000" w:themeColor="text1"/>
          <w:sz w:val="20"/>
          <w:szCs w:val="20"/>
          <w:u w:val="single"/>
        </w:rPr>
        <w:t>LGBTI Domestic Abuse ‘Unseen’</w:t>
      </w:r>
      <w:r w:rsidRPr="009815A0">
        <w:rPr>
          <w:color w:val="000000" w:themeColor="text1"/>
          <w:sz w:val="20"/>
          <w:szCs w:val="20"/>
        </w:rPr>
        <w:t>. Canberra Times</w:t>
      </w:r>
      <w:r w:rsidR="00375321">
        <w:rPr>
          <w:color w:val="000000" w:themeColor="text1"/>
          <w:sz w:val="20"/>
          <w:szCs w:val="20"/>
        </w:rPr>
        <w:t>.</w:t>
      </w:r>
      <w:r w:rsidRPr="009815A0">
        <w:rPr>
          <w:color w:val="000000" w:themeColor="text1"/>
          <w:sz w:val="20"/>
          <w:szCs w:val="20"/>
        </w:rPr>
        <w:t xml:space="preserve"> April 9, 2020</w:t>
      </w:r>
    </w:p>
    <w:sectPr w:rsidR="005358C4" w:rsidRPr="009815A0" w:rsidSect="00DA4912">
      <w:footerReference w:type="default" r:id="rId24"/>
      <w:pgSz w:w="11907" w:h="16840"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8E9E26" w14:textId="77777777" w:rsidR="002B65FC" w:rsidRDefault="002B65FC" w:rsidP="009B2843">
      <w:pPr>
        <w:spacing w:after="0" w:line="240" w:lineRule="auto"/>
      </w:pPr>
      <w:r>
        <w:separator/>
      </w:r>
    </w:p>
  </w:endnote>
  <w:endnote w:type="continuationSeparator" w:id="0">
    <w:p w14:paraId="58C593E6" w14:textId="77777777" w:rsidR="002B65FC" w:rsidRDefault="002B65FC" w:rsidP="009B28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477140589"/>
      <w:docPartObj>
        <w:docPartGallery w:val="Page Numbers (Bottom of Page)"/>
        <w:docPartUnique/>
      </w:docPartObj>
    </w:sdtPr>
    <w:sdtEndPr>
      <w:rPr>
        <w:color w:val="7F7F7F" w:themeColor="background1" w:themeShade="7F"/>
        <w:spacing w:val="60"/>
      </w:rPr>
    </w:sdtEndPr>
    <w:sdtContent>
      <w:p w14:paraId="67CB687C" w14:textId="1F1DAC3D" w:rsidR="006751DD" w:rsidRPr="00393650" w:rsidRDefault="006751DD" w:rsidP="00393650">
        <w:pPr>
          <w:pStyle w:val="Footer"/>
          <w:pBdr>
            <w:top w:val="single" w:sz="4" w:space="1" w:color="D9D9D9" w:themeColor="background1" w:themeShade="D9"/>
          </w:pBdr>
          <w:rPr>
            <w:b/>
            <w:bCs/>
            <w:sz w:val="18"/>
            <w:szCs w:val="18"/>
          </w:rPr>
        </w:pPr>
        <w:r w:rsidRPr="00393650">
          <w:rPr>
            <w:sz w:val="18"/>
            <w:szCs w:val="18"/>
          </w:rPr>
          <w:fldChar w:fldCharType="begin"/>
        </w:r>
        <w:r w:rsidRPr="00393650">
          <w:rPr>
            <w:sz w:val="18"/>
            <w:szCs w:val="18"/>
          </w:rPr>
          <w:instrText xml:space="preserve"> PAGE   \* MERGEFORMAT </w:instrText>
        </w:r>
        <w:r w:rsidRPr="00393650">
          <w:rPr>
            <w:sz w:val="18"/>
            <w:szCs w:val="18"/>
          </w:rPr>
          <w:fldChar w:fldCharType="separate"/>
        </w:r>
        <w:r w:rsidRPr="00393650">
          <w:rPr>
            <w:b/>
            <w:bCs/>
            <w:noProof/>
            <w:sz w:val="18"/>
            <w:szCs w:val="18"/>
          </w:rPr>
          <w:t>2</w:t>
        </w:r>
        <w:r w:rsidRPr="00393650">
          <w:rPr>
            <w:b/>
            <w:bCs/>
            <w:noProof/>
            <w:sz w:val="18"/>
            <w:szCs w:val="18"/>
          </w:rPr>
          <w:fldChar w:fldCharType="end"/>
        </w:r>
        <w:r w:rsidRPr="00393650">
          <w:rPr>
            <w:b/>
            <w:bCs/>
            <w:sz w:val="18"/>
            <w:szCs w:val="18"/>
          </w:rPr>
          <w:t xml:space="preserve"> | </w:t>
        </w:r>
        <w:r w:rsidRPr="00393650">
          <w:rPr>
            <w:color w:val="7F7F7F" w:themeColor="background1" w:themeShade="7F"/>
            <w:spacing w:val="60"/>
            <w:sz w:val="18"/>
            <w:szCs w:val="18"/>
          </w:rPr>
          <w:t>Page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986CE3" w14:textId="77777777" w:rsidR="002B65FC" w:rsidRDefault="002B65FC" w:rsidP="009B2843">
      <w:pPr>
        <w:spacing w:after="0" w:line="240" w:lineRule="auto"/>
      </w:pPr>
      <w:r>
        <w:separator/>
      </w:r>
    </w:p>
  </w:footnote>
  <w:footnote w:type="continuationSeparator" w:id="0">
    <w:p w14:paraId="0C33C039" w14:textId="77777777" w:rsidR="002B65FC" w:rsidRDefault="002B65FC" w:rsidP="009B2843">
      <w:pPr>
        <w:spacing w:after="0" w:line="240" w:lineRule="auto"/>
      </w:pPr>
      <w:r>
        <w:continuationSeparator/>
      </w:r>
    </w:p>
  </w:footnote>
  <w:footnote w:id="1">
    <w:p w14:paraId="558F4493" w14:textId="767888AE" w:rsidR="00F14288" w:rsidRPr="00F14288" w:rsidRDefault="00F14288" w:rsidP="00F14288">
      <w:pPr>
        <w:pStyle w:val="FootnoteText"/>
        <w:jc w:val="both"/>
        <w:rPr>
          <w:lang w:val="en-AU"/>
        </w:rPr>
      </w:pPr>
      <w:r>
        <w:rPr>
          <w:rStyle w:val="FootnoteReference"/>
        </w:rPr>
        <w:footnoteRef/>
      </w:r>
      <w:r>
        <w:t xml:space="preserve"> </w:t>
      </w:r>
      <w:r w:rsidRPr="00F14288">
        <w:rPr>
          <w:sz w:val="16"/>
          <w:szCs w:val="16"/>
        </w:rPr>
        <w:t>The prevalence of violence within lesbian relationships is unexpected to some, with Dr Philomena Horsley of the Centre for Women’s Health, Gender and Society at the Melbourne School of Population and Global Health, observing that women sometimes say: “But I’m in a relationship with a women, we’re equal, there aren’t any power dynamic so this can’t be a situation of abuse” (</w:t>
      </w:r>
      <w:r w:rsidR="00770866">
        <w:rPr>
          <w:sz w:val="16"/>
          <w:szCs w:val="16"/>
        </w:rPr>
        <w:t>Lyons, 2018</w:t>
      </w:r>
      <w:r w:rsidRPr="00F14288">
        <w:rPr>
          <w:sz w:val="16"/>
          <w:szCs w:val="16"/>
        </w:rPr>
        <w:t>).</w:t>
      </w:r>
    </w:p>
  </w:footnote>
  <w:footnote w:id="2">
    <w:p w14:paraId="44CA7A15" w14:textId="5C490B2A" w:rsidR="001953AB" w:rsidRPr="00D62323" w:rsidRDefault="001953AB" w:rsidP="00D62323">
      <w:pPr>
        <w:jc w:val="both"/>
        <w:rPr>
          <w:rFonts w:cstheme="minorHAnsi"/>
          <w:sz w:val="16"/>
          <w:szCs w:val="16"/>
          <w:lang w:val="en-GB"/>
        </w:rPr>
      </w:pPr>
      <w:r>
        <w:rPr>
          <w:rStyle w:val="FootnoteReference"/>
        </w:rPr>
        <w:footnoteRef/>
      </w:r>
      <w:r>
        <w:t xml:space="preserve"> </w:t>
      </w:r>
      <w:r w:rsidR="00D62323" w:rsidRPr="00DF28DD">
        <w:rPr>
          <w:rFonts w:cstheme="minorHAnsi"/>
          <w:color w:val="000000"/>
          <w:sz w:val="16"/>
          <w:szCs w:val="16"/>
        </w:rPr>
        <w:t xml:space="preserve">For example, the 2015 VicHealth Indicators Survey recorded the level of agreement among respondents to two statements: ‘Men should take control in relationships and be head of the household’; and ‘Women prefer a man to be in charge in a relationship’. The result was a score representing the percentage of respondents with a low support for gender equity. </w:t>
      </w:r>
      <w:r w:rsidR="00D62323" w:rsidRPr="00DF28DD">
        <w:rPr>
          <w:rFonts w:cstheme="minorHAnsi"/>
          <w:sz w:val="16"/>
          <w:szCs w:val="16"/>
          <w:lang w:val="en-GB"/>
        </w:rPr>
        <w:t>These statements were endorsed by 44% of males and 27% of females (VicHealth Indicators Survey</w:t>
      </w:r>
      <w:r w:rsidR="0062399A">
        <w:rPr>
          <w:rFonts w:cstheme="minorHAnsi"/>
          <w:sz w:val="16"/>
          <w:szCs w:val="16"/>
          <w:lang w:val="en-GB"/>
        </w:rPr>
        <w:t>,</w:t>
      </w:r>
      <w:r w:rsidR="00D62323" w:rsidRPr="00DF28DD">
        <w:rPr>
          <w:rFonts w:cstheme="minorHAnsi"/>
          <w:sz w:val="16"/>
          <w:szCs w:val="16"/>
          <w:lang w:val="en-GB"/>
        </w:rPr>
        <w:t xml:space="preserve"> 2015)</w:t>
      </w:r>
    </w:p>
  </w:footnote>
  <w:footnote w:id="3">
    <w:p w14:paraId="5957333B" w14:textId="0160E713" w:rsidR="008F3875" w:rsidRPr="009B2843" w:rsidRDefault="008F3875" w:rsidP="008F3875">
      <w:pPr>
        <w:pStyle w:val="FootnoteText"/>
        <w:jc w:val="both"/>
        <w:rPr>
          <w:lang w:val="en-AU"/>
        </w:rPr>
      </w:pPr>
      <w:r>
        <w:rPr>
          <w:rStyle w:val="FootnoteReference"/>
        </w:rPr>
        <w:footnoteRef/>
      </w:r>
      <w:r>
        <w:t xml:space="preserve"> </w:t>
      </w:r>
      <w:r w:rsidR="00230B66">
        <w:rPr>
          <w:sz w:val="16"/>
          <w:szCs w:val="16"/>
          <w:lang w:val="en-AU"/>
        </w:rPr>
        <w:t>Meyer, 2003</w:t>
      </w:r>
      <w:r w:rsidRPr="009B2843">
        <w:rPr>
          <w:sz w:val="16"/>
          <w:szCs w:val="16"/>
          <w:lang w:val="en-AU"/>
        </w:rPr>
        <w:t xml:space="preserve"> cites evidence which shows that concealment of identity </w:t>
      </w:r>
      <w:r w:rsidR="006A600B" w:rsidRPr="009B2843">
        <w:rPr>
          <w:sz w:val="16"/>
          <w:szCs w:val="16"/>
          <w:lang w:val="en-AU"/>
        </w:rPr>
        <w:t xml:space="preserve">denies many LGBTIQ people the fellowship, acceptance and affiliation of other LGBTIQ individuals </w:t>
      </w:r>
      <w:r w:rsidR="006A600B">
        <w:rPr>
          <w:sz w:val="16"/>
          <w:szCs w:val="16"/>
          <w:lang w:val="en-AU"/>
        </w:rPr>
        <w:t xml:space="preserve">and </w:t>
      </w:r>
      <w:r w:rsidRPr="009B2843">
        <w:rPr>
          <w:sz w:val="16"/>
          <w:szCs w:val="16"/>
          <w:lang w:val="en-AU"/>
        </w:rPr>
        <w:t>has detrimental effects upon individuals</w:t>
      </w:r>
      <w:r w:rsidR="006A600B">
        <w:rPr>
          <w:sz w:val="16"/>
          <w:szCs w:val="16"/>
          <w:lang w:val="en-AU"/>
        </w:rPr>
        <w:t xml:space="preserve"> -</w:t>
      </w:r>
      <w:r w:rsidRPr="009B2843">
        <w:rPr>
          <w:sz w:val="16"/>
          <w:szCs w:val="16"/>
          <w:lang w:val="en-AU"/>
        </w:rPr>
        <w:t xml:space="preserve"> just as other evidence shows that disclosures within close, interpersonal relationships confer health benefits.</w:t>
      </w:r>
    </w:p>
  </w:footnote>
  <w:footnote w:id="4">
    <w:p w14:paraId="372CE9A0" w14:textId="77777777" w:rsidR="00B358FC" w:rsidRPr="00995FAE" w:rsidRDefault="00B358FC" w:rsidP="00B358FC">
      <w:pPr>
        <w:pStyle w:val="FootnoteText"/>
        <w:jc w:val="both"/>
        <w:rPr>
          <w:lang w:val="en-AU"/>
        </w:rPr>
      </w:pPr>
      <w:r>
        <w:rPr>
          <w:rStyle w:val="FootnoteReference"/>
        </w:rPr>
        <w:footnoteRef/>
      </w:r>
      <w:r>
        <w:t xml:space="preserve"> </w:t>
      </w:r>
      <w:r w:rsidRPr="00995FAE">
        <w:rPr>
          <w:sz w:val="14"/>
          <w:szCs w:val="14"/>
        </w:rPr>
        <w:t>Notably, the far lower proportion of couples in Victorian rural areas, as compared with inner-metropolitan localities</w:t>
      </w:r>
      <w:r w:rsidRPr="00995FAE">
        <w:rPr>
          <w:sz w:val="14"/>
          <w:szCs w:val="14"/>
        </w:rPr>
        <w:footnoteRef/>
      </w:r>
      <w:r w:rsidRPr="00995FAE">
        <w:rPr>
          <w:sz w:val="14"/>
          <w:szCs w:val="14"/>
        </w:rPr>
        <w:t>, who identified themselves as of the same sex in the 2016 Census, (ABS, 2017H), is consistent with the perception of rural communities as less hospitable social environments to people of diverse gender identity or sexual orientation – implying a need for support for young people in such localities, tailored to local conditions</w:t>
      </w:r>
      <w:r w:rsidRPr="00FA4BA4">
        <w:t>.</w:t>
      </w:r>
    </w:p>
  </w:footnote>
  <w:footnote w:id="5">
    <w:p w14:paraId="4E7C4A0D" w14:textId="466E376D" w:rsidR="00360BA7" w:rsidRPr="00360BA7" w:rsidRDefault="00360BA7" w:rsidP="00360BA7">
      <w:pPr>
        <w:spacing w:after="0" w:line="240" w:lineRule="auto"/>
        <w:jc w:val="both"/>
        <w:rPr>
          <w:lang w:val="en-GB"/>
        </w:rPr>
      </w:pPr>
      <w:r>
        <w:rPr>
          <w:rStyle w:val="FootnoteReference"/>
        </w:rPr>
        <w:footnoteRef/>
      </w:r>
      <w:r>
        <w:t xml:space="preserve"> </w:t>
      </w:r>
      <w:r w:rsidRPr="00360BA7">
        <w:rPr>
          <w:sz w:val="16"/>
          <w:szCs w:val="16"/>
          <w:lang w:val="en-GB"/>
        </w:rPr>
        <w:t>A pattern reflected in the 2017 Australian Marriage Law postal vote, where reform attracted the support of fewer than 40% of voters in Greater Dandenong, Brimbank and Hume, compared with 78% of those in inner-metropolitan Yarra, Melbourne and Port Phillip (ABS, 2017I).</w:t>
      </w:r>
    </w:p>
  </w:footnote>
  <w:footnote w:id="6">
    <w:p w14:paraId="3D2C018D" w14:textId="5D69ABFE" w:rsidR="003A35C3" w:rsidRPr="003A35C3" w:rsidRDefault="003A35C3" w:rsidP="003A35C3">
      <w:pPr>
        <w:pStyle w:val="FootnoteText"/>
        <w:jc w:val="both"/>
        <w:rPr>
          <w:sz w:val="16"/>
          <w:szCs w:val="16"/>
          <w:lang w:val="en-GB"/>
        </w:rPr>
      </w:pPr>
      <w:r>
        <w:rPr>
          <w:rStyle w:val="FootnoteReference"/>
        </w:rPr>
        <w:footnoteRef/>
      </w:r>
      <w:r>
        <w:t xml:space="preserve"> </w:t>
      </w:r>
      <w:r w:rsidRPr="003A35C3">
        <w:rPr>
          <w:sz w:val="16"/>
          <w:szCs w:val="16"/>
          <w:lang w:val="en-GB"/>
        </w:rPr>
        <w:t>McCann explains: “A comparison of attitudes in 2005 versus 2015 shows that both men and women are now more likely to agree with the statement: “Homosexual couples should have the same rights as heterosexual couples do.’’ With scoring ranging from 1 (strong disagreement) to 7 (strong agreement), men’s attitudes have shifted from 3.3 (2005) to 4.8 (2015), and women’s attitudes from 4.0 (2005) to 5.3 (2015).”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2D1026"/>
    <w:multiLevelType w:val="hybridMultilevel"/>
    <w:tmpl w:val="73AAAF7C"/>
    <w:lvl w:ilvl="0" w:tplc="C124301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004385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912"/>
    <w:rsid w:val="000025AC"/>
    <w:rsid w:val="00003792"/>
    <w:rsid w:val="00010CE9"/>
    <w:rsid w:val="00011AD2"/>
    <w:rsid w:val="00014F28"/>
    <w:rsid w:val="000265D3"/>
    <w:rsid w:val="000326FA"/>
    <w:rsid w:val="00033FE5"/>
    <w:rsid w:val="000345AB"/>
    <w:rsid w:val="00041756"/>
    <w:rsid w:val="00043073"/>
    <w:rsid w:val="00043AD5"/>
    <w:rsid w:val="00043E2B"/>
    <w:rsid w:val="00043E3F"/>
    <w:rsid w:val="00052870"/>
    <w:rsid w:val="000532B1"/>
    <w:rsid w:val="00053B87"/>
    <w:rsid w:val="00054E65"/>
    <w:rsid w:val="000602C9"/>
    <w:rsid w:val="000643FF"/>
    <w:rsid w:val="000672E9"/>
    <w:rsid w:val="00070D68"/>
    <w:rsid w:val="00081003"/>
    <w:rsid w:val="00090322"/>
    <w:rsid w:val="000916E1"/>
    <w:rsid w:val="00096335"/>
    <w:rsid w:val="000978EE"/>
    <w:rsid w:val="000A17ED"/>
    <w:rsid w:val="000A42A3"/>
    <w:rsid w:val="000A434C"/>
    <w:rsid w:val="000B018C"/>
    <w:rsid w:val="000B73E3"/>
    <w:rsid w:val="000C6250"/>
    <w:rsid w:val="000D0C80"/>
    <w:rsid w:val="000D1970"/>
    <w:rsid w:val="000D3F79"/>
    <w:rsid w:val="000E26F1"/>
    <w:rsid w:val="000E322F"/>
    <w:rsid w:val="000E3EA0"/>
    <w:rsid w:val="000E7340"/>
    <w:rsid w:val="000F3EE9"/>
    <w:rsid w:val="000F756B"/>
    <w:rsid w:val="0010338A"/>
    <w:rsid w:val="00106B93"/>
    <w:rsid w:val="00107765"/>
    <w:rsid w:val="00110751"/>
    <w:rsid w:val="00131928"/>
    <w:rsid w:val="001471A0"/>
    <w:rsid w:val="00150BFB"/>
    <w:rsid w:val="00150C9C"/>
    <w:rsid w:val="00160774"/>
    <w:rsid w:val="00162D27"/>
    <w:rsid w:val="00174080"/>
    <w:rsid w:val="00176BCB"/>
    <w:rsid w:val="00180C8F"/>
    <w:rsid w:val="001869C9"/>
    <w:rsid w:val="0019526B"/>
    <w:rsid w:val="001953AB"/>
    <w:rsid w:val="001954A0"/>
    <w:rsid w:val="001978F2"/>
    <w:rsid w:val="001A332E"/>
    <w:rsid w:val="001A3C76"/>
    <w:rsid w:val="001A5C7E"/>
    <w:rsid w:val="001B55EE"/>
    <w:rsid w:val="001D5640"/>
    <w:rsid w:val="001D7C17"/>
    <w:rsid w:val="001E19AF"/>
    <w:rsid w:val="001E30BE"/>
    <w:rsid w:val="00204369"/>
    <w:rsid w:val="00212ADD"/>
    <w:rsid w:val="00215200"/>
    <w:rsid w:val="002204BC"/>
    <w:rsid w:val="002215A2"/>
    <w:rsid w:val="00222544"/>
    <w:rsid w:val="0022321D"/>
    <w:rsid w:val="00223CF7"/>
    <w:rsid w:val="00223ED8"/>
    <w:rsid w:val="00224F17"/>
    <w:rsid w:val="00225F75"/>
    <w:rsid w:val="00226DA4"/>
    <w:rsid w:val="00227C24"/>
    <w:rsid w:val="00230B66"/>
    <w:rsid w:val="002356AE"/>
    <w:rsid w:val="00240195"/>
    <w:rsid w:val="0024093E"/>
    <w:rsid w:val="0024542C"/>
    <w:rsid w:val="00254F6C"/>
    <w:rsid w:val="0026786A"/>
    <w:rsid w:val="00267F73"/>
    <w:rsid w:val="00275954"/>
    <w:rsid w:val="002840F3"/>
    <w:rsid w:val="0028530D"/>
    <w:rsid w:val="00285838"/>
    <w:rsid w:val="0028756E"/>
    <w:rsid w:val="0029540B"/>
    <w:rsid w:val="002A01B8"/>
    <w:rsid w:val="002B2318"/>
    <w:rsid w:val="002B65FC"/>
    <w:rsid w:val="002B681E"/>
    <w:rsid w:val="002B7A81"/>
    <w:rsid w:val="002C6E96"/>
    <w:rsid w:val="002D03C3"/>
    <w:rsid w:val="002D16AA"/>
    <w:rsid w:val="002E2518"/>
    <w:rsid w:val="002E67EB"/>
    <w:rsid w:val="002F15C3"/>
    <w:rsid w:val="00305406"/>
    <w:rsid w:val="003075FD"/>
    <w:rsid w:val="00320C38"/>
    <w:rsid w:val="003377BE"/>
    <w:rsid w:val="00340A94"/>
    <w:rsid w:val="00351C7A"/>
    <w:rsid w:val="003521F3"/>
    <w:rsid w:val="0035242B"/>
    <w:rsid w:val="0035553B"/>
    <w:rsid w:val="003555D8"/>
    <w:rsid w:val="00356E42"/>
    <w:rsid w:val="00360BA7"/>
    <w:rsid w:val="00364DDB"/>
    <w:rsid w:val="003743F2"/>
    <w:rsid w:val="00375321"/>
    <w:rsid w:val="003806E2"/>
    <w:rsid w:val="003810DB"/>
    <w:rsid w:val="003813AD"/>
    <w:rsid w:val="00382378"/>
    <w:rsid w:val="00386285"/>
    <w:rsid w:val="003910BC"/>
    <w:rsid w:val="00393650"/>
    <w:rsid w:val="003947CB"/>
    <w:rsid w:val="00395691"/>
    <w:rsid w:val="003962AB"/>
    <w:rsid w:val="003A35C3"/>
    <w:rsid w:val="003B092A"/>
    <w:rsid w:val="003B65C5"/>
    <w:rsid w:val="003B7CE6"/>
    <w:rsid w:val="003C2326"/>
    <w:rsid w:val="003C2A6E"/>
    <w:rsid w:val="003C7012"/>
    <w:rsid w:val="003C7DCC"/>
    <w:rsid w:val="003D1824"/>
    <w:rsid w:val="003F19B9"/>
    <w:rsid w:val="003F6213"/>
    <w:rsid w:val="003F6D45"/>
    <w:rsid w:val="00401138"/>
    <w:rsid w:val="0040153E"/>
    <w:rsid w:val="0040259C"/>
    <w:rsid w:val="004048F5"/>
    <w:rsid w:val="0041728A"/>
    <w:rsid w:val="00420D74"/>
    <w:rsid w:val="004276FE"/>
    <w:rsid w:val="00431ECA"/>
    <w:rsid w:val="0043537A"/>
    <w:rsid w:val="0044207A"/>
    <w:rsid w:val="0045547E"/>
    <w:rsid w:val="00471948"/>
    <w:rsid w:val="00474442"/>
    <w:rsid w:val="004757D7"/>
    <w:rsid w:val="004766A3"/>
    <w:rsid w:val="004841A5"/>
    <w:rsid w:val="004947B0"/>
    <w:rsid w:val="004A2A43"/>
    <w:rsid w:val="004A53B9"/>
    <w:rsid w:val="004A6C44"/>
    <w:rsid w:val="004A70BD"/>
    <w:rsid w:val="004B47EA"/>
    <w:rsid w:val="004C14BD"/>
    <w:rsid w:val="004C1D67"/>
    <w:rsid w:val="004C33AF"/>
    <w:rsid w:val="004E2E18"/>
    <w:rsid w:val="004E3A80"/>
    <w:rsid w:val="004E7CE9"/>
    <w:rsid w:val="004F12E3"/>
    <w:rsid w:val="004F1B41"/>
    <w:rsid w:val="004F277F"/>
    <w:rsid w:val="004F3AA7"/>
    <w:rsid w:val="00503B93"/>
    <w:rsid w:val="00510199"/>
    <w:rsid w:val="005105DD"/>
    <w:rsid w:val="00511251"/>
    <w:rsid w:val="005171FB"/>
    <w:rsid w:val="0051792D"/>
    <w:rsid w:val="0052503D"/>
    <w:rsid w:val="00533B5B"/>
    <w:rsid w:val="00534A68"/>
    <w:rsid w:val="005358C4"/>
    <w:rsid w:val="00547C0B"/>
    <w:rsid w:val="00551C0F"/>
    <w:rsid w:val="00552072"/>
    <w:rsid w:val="00554A16"/>
    <w:rsid w:val="00555046"/>
    <w:rsid w:val="005575CE"/>
    <w:rsid w:val="0056065C"/>
    <w:rsid w:val="005634C7"/>
    <w:rsid w:val="005708AE"/>
    <w:rsid w:val="00572B97"/>
    <w:rsid w:val="00575D77"/>
    <w:rsid w:val="0057769C"/>
    <w:rsid w:val="005820EA"/>
    <w:rsid w:val="00586A85"/>
    <w:rsid w:val="005917CE"/>
    <w:rsid w:val="005932C2"/>
    <w:rsid w:val="00595F2D"/>
    <w:rsid w:val="00596C01"/>
    <w:rsid w:val="005A51F9"/>
    <w:rsid w:val="005A57F0"/>
    <w:rsid w:val="005A72BB"/>
    <w:rsid w:val="005B2EF3"/>
    <w:rsid w:val="005D661A"/>
    <w:rsid w:val="005D6E37"/>
    <w:rsid w:val="005E4A51"/>
    <w:rsid w:val="005F1B95"/>
    <w:rsid w:val="005F1E61"/>
    <w:rsid w:val="005F386E"/>
    <w:rsid w:val="005F38CD"/>
    <w:rsid w:val="005F4395"/>
    <w:rsid w:val="005F72DC"/>
    <w:rsid w:val="005F7584"/>
    <w:rsid w:val="005F7590"/>
    <w:rsid w:val="006000E8"/>
    <w:rsid w:val="006065A2"/>
    <w:rsid w:val="00606C02"/>
    <w:rsid w:val="00612C23"/>
    <w:rsid w:val="0062399A"/>
    <w:rsid w:val="00624BDD"/>
    <w:rsid w:val="006342E7"/>
    <w:rsid w:val="00655B82"/>
    <w:rsid w:val="00656B68"/>
    <w:rsid w:val="0065749B"/>
    <w:rsid w:val="00665C57"/>
    <w:rsid w:val="006745B2"/>
    <w:rsid w:val="006751DD"/>
    <w:rsid w:val="006818F1"/>
    <w:rsid w:val="00686DC0"/>
    <w:rsid w:val="0069371C"/>
    <w:rsid w:val="0069495E"/>
    <w:rsid w:val="006978B0"/>
    <w:rsid w:val="006A600B"/>
    <w:rsid w:val="006C739A"/>
    <w:rsid w:val="006D0698"/>
    <w:rsid w:val="006D1A39"/>
    <w:rsid w:val="006D3001"/>
    <w:rsid w:val="006D4B58"/>
    <w:rsid w:val="006E736C"/>
    <w:rsid w:val="007030AF"/>
    <w:rsid w:val="007041E3"/>
    <w:rsid w:val="00704ED5"/>
    <w:rsid w:val="00710819"/>
    <w:rsid w:val="00721594"/>
    <w:rsid w:val="0073272E"/>
    <w:rsid w:val="00733FE7"/>
    <w:rsid w:val="00734073"/>
    <w:rsid w:val="00751545"/>
    <w:rsid w:val="00752013"/>
    <w:rsid w:val="007534CA"/>
    <w:rsid w:val="00760513"/>
    <w:rsid w:val="00762EB9"/>
    <w:rsid w:val="00767FE2"/>
    <w:rsid w:val="00770866"/>
    <w:rsid w:val="00776321"/>
    <w:rsid w:val="00776ADB"/>
    <w:rsid w:val="007821BF"/>
    <w:rsid w:val="00783259"/>
    <w:rsid w:val="00787D43"/>
    <w:rsid w:val="007A6E33"/>
    <w:rsid w:val="007B7C81"/>
    <w:rsid w:val="007C08B8"/>
    <w:rsid w:val="007C63C6"/>
    <w:rsid w:val="007D2980"/>
    <w:rsid w:val="007D6938"/>
    <w:rsid w:val="007E1922"/>
    <w:rsid w:val="007E2C01"/>
    <w:rsid w:val="007F0595"/>
    <w:rsid w:val="007F0D93"/>
    <w:rsid w:val="00800E2A"/>
    <w:rsid w:val="0080531D"/>
    <w:rsid w:val="00810D05"/>
    <w:rsid w:val="008361C5"/>
    <w:rsid w:val="008464EF"/>
    <w:rsid w:val="00850A45"/>
    <w:rsid w:val="00854D62"/>
    <w:rsid w:val="00864062"/>
    <w:rsid w:val="00866A48"/>
    <w:rsid w:val="00874726"/>
    <w:rsid w:val="00876388"/>
    <w:rsid w:val="00876CED"/>
    <w:rsid w:val="0088089A"/>
    <w:rsid w:val="00881CA2"/>
    <w:rsid w:val="00884471"/>
    <w:rsid w:val="008916C2"/>
    <w:rsid w:val="008923B9"/>
    <w:rsid w:val="008A43F0"/>
    <w:rsid w:val="008A5373"/>
    <w:rsid w:val="008A62F2"/>
    <w:rsid w:val="008B262F"/>
    <w:rsid w:val="008B2795"/>
    <w:rsid w:val="008B4E1B"/>
    <w:rsid w:val="008B65B5"/>
    <w:rsid w:val="008B6C60"/>
    <w:rsid w:val="008B74B4"/>
    <w:rsid w:val="008C06E1"/>
    <w:rsid w:val="008C6FC4"/>
    <w:rsid w:val="008D2C3B"/>
    <w:rsid w:val="008D5265"/>
    <w:rsid w:val="008D65E3"/>
    <w:rsid w:val="008E1244"/>
    <w:rsid w:val="008F3875"/>
    <w:rsid w:val="008F4312"/>
    <w:rsid w:val="008F5467"/>
    <w:rsid w:val="008F5E2B"/>
    <w:rsid w:val="00903E5C"/>
    <w:rsid w:val="00906E39"/>
    <w:rsid w:val="009078EB"/>
    <w:rsid w:val="009144BB"/>
    <w:rsid w:val="0091797F"/>
    <w:rsid w:val="00925F7F"/>
    <w:rsid w:val="009319E2"/>
    <w:rsid w:val="00933878"/>
    <w:rsid w:val="00940EB3"/>
    <w:rsid w:val="00952EDE"/>
    <w:rsid w:val="00953ADB"/>
    <w:rsid w:val="00954645"/>
    <w:rsid w:val="00954D24"/>
    <w:rsid w:val="00960C5C"/>
    <w:rsid w:val="00961AA9"/>
    <w:rsid w:val="00965593"/>
    <w:rsid w:val="009676C7"/>
    <w:rsid w:val="0097359D"/>
    <w:rsid w:val="009770D0"/>
    <w:rsid w:val="009815A0"/>
    <w:rsid w:val="00981D6E"/>
    <w:rsid w:val="009903E1"/>
    <w:rsid w:val="009A1E7D"/>
    <w:rsid w:val="009A73C2"/>
    <w:rsid w:val="009B2843"/>
    <w:rsid w:val="009C0723"/>
    <w:rsid w:val="009C1579"/>
    <w:rsid w:val="009C2E1A"/>
    <w:rsid w:val="009C6B44"/>
    <w:rsid w:val="009C7674"/>
    <w:rsid w:val="009D0B33"/>
    <w:rsid w:val="009D1483"/>
    <w:rsid w:val="009D5554"/>
    <w:rsid w:val="009D5E71"/>
    <w:rsid w:val="009E50B8"/>
    <w:rsid w:val="00A005F1"/>
    <w:rsid w:val="00A01E21"/>
    <w:rsid w:val="00A03D9C"/>
    <w:rsid w:val="00A10020"/>
    <w:rsid w:val="00A1372A"/>
    <w:rsid w:val="00A13DAA"/>
    <w:rsid w:val="00A16B6B"/>
    <w:rsid w:val="00A406A4"/>
    <w:rsid w:val="00A45171"/>
    <w:rsid w:val="00A4596D"/>
    <w:rsid w:val="00A4741F"/>
    <w:rsid w:val="00A524EC"/>
    <w:rsid w:val="00A606CE"/>
    <w:rsid w:val="00A6367C"/>
    <w:rsid w:val="00A65B08"/>
    <w:rsid w:val="00A83688"/>
    <w:rsid w:val="00A843D4"/>
    <w:rsid w:val="00A8627A"/>
    <w:rsid w:val="00A93DAA"/>
    <w:rsid w:val="00A95475"/>
    <w:rsid w:val="00AA1180"/>
    <w:rsid w:val="00AA3502"/>
    <w:rsid w:val="00AA470E"/>
    <w:rsid w:val="00AA58EF"/>
    <w:rsid w:val="00AB0380"/>
    <w:rsid w:val="00AC27C3"/>
    <w:rsid w:val="00AD04E4"/>
    <w:rsid w:val="00AD23D1"/>
    <w:rsid w:val="00AE2786"/>
    <w:rsid w:val="00AE6982"/>
    <w:rsid w:val="00AF028C"/>
    <w:rsid w:val="00AF21C8"/>
    <w:rsid w:val="00AF4DFD"/>
    <w:rsid w:val="00B07A7F"/>
    <w:rsid w:val="00B1033F"/>
    <w:rsid w:val="00B10867"/>
    <w:rsid w:val="00B1515A"/>
    <w:rsid w:val="00B17252"/>
    <w:rsid w:val="00B22E89"/>
    <w:rsid w:val="00B2459A"/>
    <w:rsid w:val="00B358FC"/>
    <w:rsid w:val="00B3678A"/>
    <w:rsid w:val="00B44146"/>
    <w:rsid w:val="00B45AD9"/>
    <w:rsid w:val="00B46100"/>
    <w:rsid w:val="00B53162"/>
    <w:rsid w:val="00B74DA8"/>
    <w:rsid w:val="00B80BAA"/>
    <w:rsid w:val="00B827E5"/>
    <w:rsid w:val="00B86226"/>
    <w:rsid w:val="00B8727A"/>
    <w:rsid w:val="00B938DC"/>
    <w:rsid w:val="00B94836"/>
    <w:rsid w:val="00B949D1"/>
    <w:rsid w:val="00BB347E"/>
    <w:rsid w:val="00BC0830"/>
    <w:rsid w:val="00BC41FF"/>
    <w:rsid w:val="00BC49CD"/>
    <w:rsid w:val="00BD5CF1"/>
    <w:rsid w:val="00BE068A"/>
    <w:rsid w:val="00BE76C4"/>
    <w:rsid w:val="00BF57B7"/>
    <w:rsid w:val="00C1111F"/>
    <w:rsid w:val="00C117F5"/>
    <w:rsid w:val="00C1212B"/>
    <w:rsid w:val="00C25B9E"/>
    <w:rsid w:val="00C3185E"/>
    <w:rsid w:val="00C3664A"/>
    <w:rsid w:val="00C43B87"/>
    <w:rsid w:val="00C4481A"/>
    <w:rsid w:val="00C52222"/>
    <w:rsid w:val="00C6082B"/>
    <w:rsid w:val="00C6456C"/>
    <w:rsid w:val="00C778CF"/>
    <w:rsid w:val="00C812FD"/>
    <w:rsid w:val="00C86354"/>
    <w:rsid w:val="00C90B7E"/>
    <w:rsid w:val="00C9113A"/>
    <w:rsid w:val="00C95240"/>
    <w:rsid w:val="00CA7160"/>
    <w:rsid w:val="00CC6403"/>
    <w:rsid w:val="00CD2373"/>
    <w:rsid w:val="00CD25B2"/>
    <w:rsid w:val="00CE4740"/>
    <w:rsid w:val="00CE6328"/>
    <w:rsid w:val="00CF73B0"/>
    <w:rsid w:val="00D13411"/>
    <w:rsid w:val="00D3315F"/>
    <w:rsid w:val="00D35E07"/>
    <w:rsid w:val="00D412FE"/>
    <w:rsid w:val="00D51233"/>
    <w:rsid w:val="00D529CC"/>
    <w:rsid w:val="00D53279"/>
    <w:rsid w:val="00D62323"/>
    <w:rsid w:val="00D6740E"/>
    <w:rsid w:val="00D71DBD"/>
    <w:rsid w:val="00D84CE0"/>
    <w:rsid w:val="00D903B2"/>
    <w:rsid w:val="00D91DEA"/>
    <w:rsid w:val="00D952EC"/>
    <w:rsid w:val="00D973C4"/>
    <w:rsid w:val="00DA0EAD"/>
    <w:rsid w:val="00DA10E1"/>
    <w:rsid w:val="00DA2559"/>
    <w:rsid w:val="00DA4912"/>
    <w:rsid w:val="00DB298D"/>
    <w:rsid w:val="00DB3BEC"/>
    <w:rsid w:val="00DC46A1"/>
    <w:rsid w:val="00DD1C0B"/>
    <w:rsid w:val="00DD3846"/>
    <w:rsid w:val="00DD63E4"/>
    <w:rsid w:val="00DE3630"/>
    <w:rsid w:val="00DF6129"/>
    <w:rsid w:val="00E03FC7"/>
    <w:rsid w:val="00E07E84"/>
    <w:rsid w:val="00E142DB"/>
    <w:rsid w:val="00E14A82"/>
    <w:rsid w:val="00E1595B"/>
    <w:rsid w:val="00E15CBE"/>
    <w:rsid w:val="00E167AE"/>
    <w:rsid w:val="00E343B3"/>
    <w:rsid w:val="00E354F9"/>
    <w:rsid w:val="00E35978"/>
    <w:rsid w:val="00E42E74"/>
    <w:rsid w:val="00E56920"/>
    <w:rsid w:val="00E66B8C"/>
    <w:rsid w:val="00E718DA"/>
    <w:rsid w:val="00E76364"/>
    <w:rsid w:val="00E924CD"/>
    <w:rsid w:val="00EA08F5"/>
    <w:rsid w:val="00EA45DF"/>
    <w:rsid w:val="00EB204E"/>
    <w:rsid w:val="00EB2820"/>
    <w:rsid w:val="00EB4DB0"/>
    <w:rsid w:val="00EC5C21"/>
    <w:rsid w:val="00ED631B"/>
    <w:rsid w:val="00EE00BB"/>
    <w:rsid w:val="00EE4D6C"/>
    <w:rsid w:val="00EE5429"/>
    <w:rsid w:val="00EF1607"/>
    <w:rsid w:val="00F00B58"/>
    <w:rsid w:val="00F03418"/>
    <w:rsid w:val="00F12387"/>
    <w:rsid w:val="00F14288"/>
    <w:rsid w:val="00F22BF6"/>
    <w:rsid w:val="00F27FE1"/>
    <w:rsid w:val="00F35248"/>
    <w:rsid w:val="00F366FB"/>
    <w:rsid w:val="00F37295"/>
    <w:rsid w:val="00F42A41"/>
    <w:rsid w:val="00F4624E"/>
    <w:rsid w:val="00F53F1F"/>
    <w:rsid w:val="00F60D95"/>
    <w:rsid w:val="00F63A44"/>
    <w:rsid w:val="00F654BA"/>
    <w:rsid w:val="00F70E29"/>
    <w:rsid w:val="00F712E7"/>
    <w:rsid w:val="00F72B3F"/>
    <w:rsid w:val="00F75650"/>
    <w:rsid w:val="00F75C51"/>
    <w:rsid w:val="00F771E0"/>
    <w:rsid w:val="00F80E44"/>
    <w:rsid w:val="00F81352"/>
    <w:rsid w:val="00F81D5E"/>
    <w:rsid w:val="00F82323"/>
    <w:rsid w:val="00F95105"/>
    <w:rsid w:val="00F95390"/>
    <w:rsid w:val="00F958BF"/>
    <w:rsid w:val="00FA0F5D"/>
    <w:rsid w:val="00FA4BA4"/>
    <w:rsid w:val="00FB6161"/>
    <w:rsid w:val="00FC30AF"/>
    <w:rsid w:val="00FD3391"/>
    <w:rsid w:val="00FE0E8B"/>
    <w:rsid w:val="00FE439C"/>
    <w:rsid w:val="00FE603F"/>
    <w:rsid w:val="00FE7BA2"/>
    <w:rsid w:val="00FF015B"/>
    <w:rsid w:val="00FF1B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E598D"/>
  <w15:chartTrackingRefBased/>
  <w15:docId w15:val="{2A5BC84F-0DE7-47CE-A3BD-27B1AAB61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9B284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B2843"/>
    <w:rPr>
      <w:sz w:val="20"/>
      <w:szCs w:val="20"/>
    </w:rPr>
  </w:style>
  <w:style w:type="character" w:styleId="FootnoteReference">
    <w:name w:val="footnote reference"/>
    <w:basedOn w:val="DefaultParagraphFont"/>
    <w:uiPriority w:val="99"/>
    <w:semiHidden/>
    <w:unhideWhenUsed/>
    <w:rsid w:val="009B2843"/>
    <w:rPr>
      <w:vertAlign w:val="superscript"/>
    </w:rPr>
  </w:style>
  <w:style w:type="paragraph" w:styleId="Header">
    <w:name w:val="header"/>
    <w:basedOn w:val="Normal"/>
    <w:link w:val="HeaderChar"/>
    <w:uiPriority w:val="99"/>
    <w:unhideWhenUsed/>
    <w:rsid w:val="003936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3650"/>
  </w:style>
  <w:style w:type="paragraph" w:styleId="Footer">
    <w:name w:val="footer"/>
    <w:basedOn w:val="Normal"/>
    <w:link w:val="FooterChar"/>
    <w:uiPriority w:val="99"/>
    <w:unhideWhenUsed/>
    <w:rsid w:val="003936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3650"/>
  </w:style>
  <w:style w:type="paragraph" w:styleId="ListParagraph">
    <w:name w:val="List Paragraph"/>
    <w:basedOn w:val="Normal"/>
    <w:uiPriority w:val="34"/>
    <w:qFormat/>
    <w:rsid w:val="00CD25B2"/>
    <w:pPr>
      <w:ind w:left="720"/>
      <w:contextualSpacing/>
    </w:pPr>
  </w:style>
  <w:style w:type="paragraph" w:styleId="BalloonText">
    <w:name w:val="Balloon Text"/>
    <w:basedOn w:val="Normal"/>
    <w:link w:val="BalloonTextChar"/>
    <w:uiPriority w:val="99"/>
    <w:semiHidden/>
    <w:unhideWhenUsed/>
    <w:rsid w:val="00E66B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6B8C"/>
    <w:rPr>
      <w:rFonts w:ascii="Segoe UI" w:hAnsi="Segoe UI" w:cs="Segoe UI"/>
      <w:sz w:val="18"/>
      <w:szCs w:val="18"/>
    </w:rPr>
  </w:style>
  <w:style w:type="character" w:styleId="CommentReference">
    <w:name w:val="annotation reference"/>
    <w:basedOn w:val="DefaultParagraphFont"/>
    <w:uiPriority w:val="99"/>
    <w:semiHidden/>
    <w:unhideWhenUsed/>
    <w:rsid w:val="00F81D5E"/>
    <w:rPr>
      <w:sz w:val="16"/>
      <w:szCs w:val="16"/>
    </w:rPr>
  </w:style>
  <w:style w:type="paragraph" w:styleId="CommentText">
    <w:name w:val="annotation text"/>
    <w:basedOn w:val="Normal"/>
    <w:link w:val="CommentTextChar"/>
    <w:uiPriority w:val="99"/>
    <w:semiHidden/>
    <w:unhideWhenUsed/>
    <w:rsid w:val="00F81D5E"/>
    <w:pPr>
      <w:spacing w:line="240" w:lineRule="auto"/>
    </w:pPr>
    <w:rPr>
      <w:sz w:val="20"/>
      <w:szCs w:val="20"/>
    </w:rPr>
  </w:style>
  <w:style w:type="character" w:customStyle="1" w:styleId="CommentTextChar">
    <w:name w:val="Comment Text Char"/>
    <w:basedOn w:val="DefaultParagraphFont"/>
    <w:link w:val="CommentText"/>
    <w:uiPriority w:val="99"/>
    <w:semiHidden/>
    <w:rsid w:val="00F81D5E"/>
    <w:rPr>
      <w:sz w:val="20"/>
      <w:szCs w:val="20"/>
    </w:rPr>
  </w:style>
  <w:style w:type="paragraph" w:styleId="CommentSubject">
    <w:name w:val="annotation subject"/>
    <w:basedOn w:val="CommentText"/>
    <w:next w:val="CommentText"/>
    <w:link w:val="CommentSubjectChar"/>
    <w:uiPriority w:val="99"/>
    <w:semiHidden/>
    <w:unhideWhenUsed/>
    <w:rsid w:val="00F81D5E"/>
    <w:rPr>
      <w:b/>
      <w:bCs/>
    </w:rPr>
  </w:style>
  <w:style w:type="character" w:customStyle="1" w:styleId="CommentSubjectChar">
    <w:name w:val="Comment Subject Char"/>
    <w:basedOn w:val="CommentTextChar"/>
    <w:link w:val="CommentSubject"/>
    <w:uiPriority w:val="99"/>
    <w:semiHidden/>
    <w:rsid w:val="00F81D5E"/>
    <w:rPr>
      <w:b/>
      <w:bCs/>
      <w:sz w:val="20"/>
      <w:szCs w:val="20"/>
    </w:rPr>
  </w:style>
  <w:style w:type="paragraph" w:styleId="Revision">
    <w:name w:val="Revision"/>
    <w:hidden/>
    <w:uiPriority w:val="99"/>
    <w:semiHidden/>
    <w:rsid w:val="0037532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jpeg" Id="rId13" /><Relationship Type="http://schemas.openxmlformats.org/officeDocument/2006/relationships/image" Target="media/image8.jpeg" Id="rId18" /><Relationship Type="http://schemas.openxmlformats.org/officeDocument/2006/relationships/theme" Target="theme/theme1.xml" Id="rId26" /><Relationship Type="http://schemas.openxmlformats.org/officeDocument/2006/relationships/customXml" Target="../customXml/item3.xml" Id="rId3" /><Relationship Type="http://schemas.openxmlformats.org/officeDocument/2006/relationships/image" Target="media/image11.emf" Id="rId21" /><Relationship Type="http://schemas.openxmlformats.org/officeDocument/2006/relationships/settings" Target="settings.xml" Id="rId7" /><Relationship Type="http://schemas.openxmlformats.org/officeDocument/2006/relationships/image" Target="media/image2.jpeg" Id="rId12" /><Relationship Type="http://schemas.openxmlformats.org/officeDocument/2006/relationships/image" Target="media/image7.jpeg" Id="rId17" /><Relationship Type="http://schemas.openxmlformats.org/officeDocument/2006/relationships/fontTable" Target="fontTable.xml" Id="rId25" /><Relationship Type="http://schemas.openxmlformats.org/officeDocument/2006/relationships/customXml" Target="../customXml/item2.xml" Id="rId2" /><Relationship Type="http://schemas.openxmlformats.org/officeDocument/2006/relationships/image" Target="media/image6.jpeg" Id="rId16" /><Relationship Type="http://schemas.openxmlformats.org/officeDocument/2006/relationships/image" Target="media/image10.jpeg"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footer" Target="footer1.xml" Id="rId24" /><Relationship Type="http://schemas.openxmlformats.org/officeDocument/2006/relationships/numbering" Target="numbering.xml" Id="rId5" /><Relationship Type="http://schemas.openxmlformats.org/officeDocument/2006/relationships/image" Target="media/image5.jpeg" Id="rId15" /><Relationship Type="http://schemas.openxmlformats.org/officeDocument/2006/relationships/hyperlink" Target="https://www.police.vic.gov.au/LGBTIQ-liaison-officers" TargetMode="External" Id="rId23" /><Relationship Type="http://schemas.openxmlformats.org/officeDocument/2006/relationships/endnotes" Target="endnotes.xml" Id="rId10" /><Relationship Type="http://schemas.openxmlformats.org/officeDocument/2006/relationships/image" Target="media/image9.jpeg"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4.jpeg" Id="rId14" /><Relationship Type="http://schemas.openxmlformats.org/officeDocument/2006/relationships/hyperlink" Target="https://www.sciencedirect.com/science/article/pii/S2095254616300916" TargetMode="External" Id="rId22" /><Relationship Type="http://schemas.openxmlformats.org/officeDocument/2006/relationships/customXml" Target="/customXML/item5.xml" Id="R17f70a5d3eb44d3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5.xml.rels>&#65279;<?xml version="1.0" encoding="utf-8"?><Relationships xmlns="http://schemas.openxmlformats.org/package/2006/relationships"><Relationship Type="http://schemas.openxmlformats.org/officeDocument/2006/relationships/customXmlProps" Target="/customXML/itemProps5.xml" Id="Rd3c4172d526e4b2384ade4b889302c76" /></Relationships>
</file>

<file path=customXML/item5.xml><?xml version="1.0" encoding="utf-8"?>
<metadata xmlns="http://www.objective.com/ecm/document/metadata/9676E22B47CC48CBA49BA16071DCFF24" version="1.0.0">
  <systemFields>
    <field name="Objective-Id">
      <value order="0">A8955778</value>
    </field>
    <field name="Objective-Title">
      <value order="0">LGBTI communities and intimate partner violence - a summary of the research</value>
    </field>
    <field name="Objective-Description">
      <value order="0"/>
    </field>
    <field name="Objective-CreationStamp">
      <value order="0">2022-07-22T10:27:03Z</value>
    </field>
    <field name="Objective-IsApproved">
      <value order="0">false</value>
    </field>
    <field name="Objective-IsPublished">
      <value order="0">true</value>
    </field>
    <field name="Objective-DatePublished">
      <value order="0">2022-07-23T10:30:15Z</value>
    </field>
    <field name="Objective-ModificationStamp">
      <value order="0">2023-05-10T02:43:38Z</value>
    </field>
    <field name="Objective-Owner">
      <value order="0">Hayden Brown</value>
    </field>
    <field name="Objective-Path">
      <value order="0">Classified Object:Classified Object:Classified Object:Census Themes Z 2011</value>
    </field>
    <field name="Objective-Parent">
      <value order="0">Census Themes Z 2011</value>
    </field>
    <field name="Objective-State">
      <value order="0">Published</value>
    </field>
    <field name="Objective-VersionId">
      <value order="0">vA11447375</value>
    </field>
    <field name="Objective-Version">
      <value order="0">1.0</value>
    </field>
    <field name="Objective-VersionNumber">
      <value order="0">1</value>
    </field>
    <field name="Objective-VersionComment">
      <value order="0">First version</value>
    </field>
    <field name="Objective-FileNumber">
      <value order="0">qA268988</value>
    </field>
    <field name="Objective-Classification">
      <value order="0"/>
    </field>
    <field name="Objective-Caveats">
      <value order="0"/>
    </field>
  </systemFields>
  <catalogues>
    <catalogue name="Document Type Catalogue" type="type" ori="id:cA11">
      <field name="Objective-Business Unit">
        <value order="0"/>
      </field>
      <field name="Objective-Corporate Document Type">
        <value order="0"/>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5.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D29F1E8EBD4564CA8BE547D911CD916" ma:contentTypeVersion="10" ma:contentTypeDescription="Create a new document." ma:contentTypeScope="" ma:versionID="a39c2d2fd3050091bb0b998931548c2c">
  <xsd:schema xmlns:xsd="http://www.w3.org/2001/XMLSchema" xmlns:xs="http://www.w3.org/2001/XMLSchema" xmlns:p="http://schemas.microsoft.com/office/2006/metadata/properties" xmlns:ns3="470ad91e-64b1-46c6-adbd-6351c2f11f1c" targetNamespace="http://schemas.microsoft.com/office/2006/metadata/properties" ma:root="true" ma:fieldsID="6a3b2bcd68185cbfbb43360d436117a1" ns3:_="">
    <xsd:import namespace="470ad91e-64b1-46c6-adbd-6351c2f11f1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0ad91e-64b1-46c6-adbd-6351c2f11f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08A9744-5287-4E1D-B8E5-DFA63AF6C0C6}">
  <ds:schemaRefs>
    <ds:schemaRef ds:uri="http://schemas.openxmlformats.org/officeDocument/2006/bibliography"/>
  </ds:schemaRefs>
</ds:datastoreItem>
</file>

<file path=customXml/itemProps2.xml><?xml version="1.0" encoding="utf-8"?>
<ds:datastoreItem xmlns:ds="http://schemas.openxmlformats.org/officeDocument/2006/customXml" ds:itemID="{D4BB1863-EAD3-4490-93BD-330ED1D6B7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0ad91e-64b1-46c6-adbd-6351c2f11f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0D0146-A3D0-4D1D-99BB-C1D2B373E2AA}">
  <ds:schemaRefs>
    <ds:schemaRef ds:uri="http://schemas.microsoft.com/sharepoint/v3/contenttype/forms"/>
  </ds:schemaRefs>
</ds:datastoreItem>
</file>

<file path=customXml/itemProps4.xml><?xml version="1.0" encoding="utf-8"?>
<ds:datastoreItem xmlns:ds="http://schemas.openxmlformats.org/officeDocument/2006/customXml" ds:itemID="{40AE8200-8ED7-410E-9E7B-6140DF09C44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8892</Words>
  <Characters>50687</Characters>
  <Application>Microsoft Office Word</Application>
  <DocSecurity>0</DocSecurity>
  <Lines>422</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Hayden Brown</dc:creator>
  <cp:keywords/>
  <dc:description/>
  <cp:lastModifiedBy>Hayden Brown</cp:lastModifiedBy>
  <cp:revision>2</cp:revision>
  <cp:lastPrinted>2020-08-25T08:44:00Z</cp:lastPrinted>
  <dcterms:created xsi:type="dcterms:W3CDTF">2022-07-22T09:49:00Z</dcterms:created>
  <dcterms:modified xsi:type="dcterms:W3CDTF">2022-07-22T09:49:00Z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0x0101003D29F1E8EBD4564CA8BE547D911CD916</vt:lpwstr>
  </property>
  <property fmtid="{D5CDD505-2E9C-101B-9397-08002B2CF9AE}" pid="3" name="Objective-Id">
    <vt:lpwstr>A8955778</vt:lpwstr>
  </property>
  <property fmtid="{D5CDD505-2E9C-101B-9397-08002B2CF9AE}" pid="4" name="Objective-Title">
    <vt:lpwstr>LGBTI communities and intimate partner violence - a summary of the research</vt:lpwstr>
  </property>
  <property fmtid="{D5CDD505-2E9C-101B-9397-08002B2CF9AE}" pid="5" name="Objective-Description">
    <vt:lpwstr/>
  </property>
  <property fmtid="{D5CDD505-2E9C-101B-9397-08002B2CF9AE}" pid="6" name="Objective-CreationStamp">
    <vt:filetime>2022-07-22T10:27:03Z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2022-07-23T10:30:15Z</vt:filetime>
  </property>
  <property fmtid="{D5CDD505-2E9C-101B-9397-08002B2CF9AE}" pid="10" name="Objective-ModificationStamp">
    <vt:filetime>2023-05-10T02:43:38Z</vt:filetime>
  </property>
  <property fmtid="{D5CDD505-2E9C-101B-9397-08002B2CF9AE}" pid="11" name="Objective-Owner">
    <vt:lpwstr>Hayden Brown</vt:lpwstr>
  </property>
  <property fmtid="{D5CDD505-2E9C-101B-9397-08002B2CF9AE}" pid="12" name="Objective-Path">
    <vt:lpwstr>Classified Object:Classified Object:Classified Object:Census Themes Z 2011</vt:lpwstr>
  </property>
  <property fmtid="{D5CDD505-2E9C-101B-9397-08002B2CF9AE}" pid="13" name="Objective-Parent">
    <vt:lpwstr>Census Themes Z 2011</vt:lpwstr>
  </property>
  <property fmtid="{D5CDD505-2E9C-101B-9397-08002B2CF9AE}" pid="14" name="Objective-State">
    <vt:lpwstr>Published</vt:lpwstr>
  </property>
  <property fmtid="{D5CDD505-2E9C-101B-9397-08002B2CF9AE}" pid="15" name="Objective-VersionId">
    <vt:lpwstr>vA11447375</vt:lpwstr>
  </property>
  <property fmtid="{D5CDD505-2E9C-101B-9397-08002B2CF9AE}" pid="16" name="Objective-Version">
    <vt:lpwstr>1.0</vt:lpwstr>
  </property>
  <property fmtid="{D5CDD505-2E9C-101B-9397-08002B2CF9AE}" pid="17" name="Objective-VersionNumber">
    <vt:r8>1</vt:r8>
  </property>
  <property fmtid="{D5CDD505-2E9C-101B-9397-08002B2CF9AE}" pid="18" name="Objective-VersionComment">
    <vt:lpwstr>First version</vt:lpwstr>
  </property>
  <property fmtid="{D5CDD505-2E9C-101B-9397-08002B2CF9AE}" pid="19" name="Objective-FileNumber">
    <vt:lpwstr>qA268988</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
  </property>
  <property fmtid="{D5CDD505-2E9C-101B-9397-08002B2CF9AE}" pid="23" name="Objective-Corporate Document Type">
    <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Bulk Update Status">
    <vt:lpwstr/>
  </property>
</Properties>
</file>