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607a9e876cbb41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2020-08-30T20:38:04Z</value>
    </field>
    <field name="Objective-IsApproved">
      <value order="0">false</value>
    </field>
    <field name="Objective-IsPublished">
      <value order="0">true</value>
    </field>
    <field name="Objective-DatePublished">
      <value order="0">2021-04-23T01:43:08Z</value>
    </field>
    <field name="Objective-ModificationStamp">
      <value order="0">2021-04-23T01:43:07Z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A6819538</vt:lpwstr>
  </property>
  <property fmtid="{D5CDD505-2E9C-101B-9397-08002B2CF9AE}" pid="4" name="Objective-Title">
    <vt:lpwstr>J Gender Equity</vt:lpwstr>
  </property>
  <property fmtid="{D5CDD505-2E9C-101B-9397-08002B2CF9AE}" pid="5" name="Objective-Description">
    <vt:lpwstr/>
  </property>
  <property fmtid="{D5CDD505-2E9C-101B-9397-08002B2CF9AE}" pid="6" name="Objective-CreationStamp">
    <vt:filetime>2020-08-30T20:38:04Z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2021-04-23T01:43:08Z</vt:filetime>
  </property>
  <property fmtid="{D5CDD505-2E9C-101B-9397-08002B2CF9AE}" pid="10" name="Objective-ModificationStamp">
    <vt:filetime>2021-04-23T01:43:07Z</vt:filetime>
  </property>
  <property fmtid="{D5CDD505-2E9C-101B-9397-08002B2CF9AE}" pid="11" name="Objective-Owner">
    <vt:lpwstr>Fran McKechnie</vt:lpwstr>
  </property>
  <property fmtid="{D5CDD505-2E9C-101B-9397-08002B2CF9AE}" pid="12" name="Objective-Path">
    <vt:lpwstr>Classified Object:Classified Object:Classified Object:Classified Object:Webpage Stats A Summaries of Social Information</vt:lpwstr>
  </property>
  <property fmtid="{D5CDD505-2E9C-101B-9397-08002B2CF9AE}" pid="13" name="Objective-Parent">
    <vt:lpwstr>Webpage Stats A Summaries of Social Information</vt:lpwstr>
  </property>
  <property fmtid="{D5CDD505-2E9C-101B-9397-08002B2CF9AE}" pid="14" name="Objective-State">
    <vt:lpwstr>Published</vt:lpwstr>
  </property>
  <property fmtid="{D5CDD505-2E9C-101B-9397-08002B2CF9AE}" pid="15" name="Objective-VersionId">
    <vt:lpwstr>vA9844424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qA1096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