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f23f5728193944e7"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2018-07-13T01:34:30Z</value>
    </field>
    <field name="Objective-IsApproved">
      <value order="0">false</value>
    </field>
    <field name="Objective-IsPublished">
      <value order="0">true</value>
    </field>
    <field name="Objective-DatePublished">
      <value order="0">2021-01-28T21:35:03Z</value>
    </field>
    <field name="Objective-ModificationStamp">
      <value order="0">2025-07-30T05:49:27Z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A5116806</vt:lpwstr>
  </op:property>
  <op:property fmtid="{D5CDD505-2E9C-101B-9397-08002B2CF9AE}" pid="6" name="Objective-Title">
    <vt:lpwstr>Submission of Plans to Comply with Planning Permit Conditions Form WORD</vt:lpwstr>
  </op:property>
  <op:property fmtid="{D5CDD505-2E9C-101B-9397-08002B2CF9AE}" pid="7" name="Objective-Description">
    <vt:lpwstr/>
  </op:property>
  <op:property fmtid="{D5CDD505-2E9C-101B-9397-08002B2CF9AE}" pid="8" name="Objective-CreationStamp">
    <vt:filetime>2018-07-13T01:34:30Z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2021-01-28T21:35:03Z</vt:filetime>
  </op:property>
  <op:property fmtid="{D5CDD505-2E9C-101B-9397-08002B2CF9AE}" pid="12" name="Objective-ModificationStamp">
    <vt:filetime>2025-07-30T05:49:27Z</vt:filetime>
  </op:property>
  <op:property fmtid="{D5CDD505-2E9C-101B-9397-08002B2CF9AE}" pid="13" name="Objective-Owner">
    <vt:lpwstr>Leanne Nicholls</vt:lpwstr>
  </op:property>
  <op:property fmtid="{D5CDD505-2E9C-101B-9397-08002B2CF9AE}" pid="14" name="Objective-Path">
    <vt:lpwstr>Classified Object:Classified Object:Classified Object:Classified Object:Planning Forms and Templates - LIVE LINKED TO WEBSITE</vt:lpwstr>
  </op:property>
  <op:property fmtid="{D5CDD505-2E9C-101B-9397-08002B2CF9AE}" pid="15" name="Objective-Parent">
    <vt:lpwstr>Planning Forms and Templates - LIVE LINKED TO WEBSITE</vt:lpwstr>
  </op:property>
  <op:property fmtid="{D5CDD505-2E9C-101B-9397-08002B2CF9AE}" pid="16" name="Objective-State">
    <vt:lpwstr>Published</vt:lpwstr>
  </op:property>
  <op:property fmtid="{D5CDD505-2E9C-101B-9397-08002B2CF9AE}" pid="17" name="Objective-VersionId">
    <vt:lpwstr>vA9458872</vt:lpwstr>
  </op:property>
  <op:property fmtid="{D5CDD505-2E9C-101B-9397-08002B2CF9AE}" pid="18" name="Objective-Version">
    <vt:lpwstr>16.0</vt:lpwstr>
  </op:property>
  <op:property fmtid="{D5CDD505-2E9C-101B-9397-08002B2CF9AE}" pid="19" name="Objective-VersionNumber">
    <vt:r8>21</vt:r8>
  </op:property>
  <op:property fmtid="{D5CDD505-2E9C-101B-9397-08002B2CF9AE}" pid="20" name="Objective-VersionComment">
    <vt:lpwstr>updated version date</vt:lpwstr>
  </op:property>
  <op:property fmtid="{D5CDD505-2E9C-101B-9397-08002B2CF9AE}" pid="21" name="Objective-FileNumber">
    <vt:lpwstr>qA387</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Statutory Planning</vt:lpwstr>
  </op:property>
  <op:property fmtid="{D5CDD505-2E9C-101B-9397-08002B2CF9AE}" pid="25" name="Objective-Corporate Document Type">
    <vt:lpwstr>Form</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