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10df74b9fb84fa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2e851bbf2a1a4e6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2018-07-10T05:53:53Z</value>
    </field>
    <field name="Objective-IsApproved">
      <value order="0">false</value>
    </field>
    <field name="Objective-IsPublished">
      <value order="0">true</value>
    </field>
    <field name="Objective-DatePublished">
      <value order="0">2025-07-31T00:28:18Z</value>
    </field>
    <field name="Objective-ModificationStamp">
      <value order="0">2025-07-31T00:28:18Z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A5109794</vt:lpwstr>
  </op:property>
  <op:property fmtid="{D5CDD505-2E9C-101B-9397-08002B2CF9AE}" pid="4" name="Objective-Title">
    <vt:lpwstr xmlns:vt="http://schemas.openxmlformats.org/officeDocument/2006/docPropsVTypes">Application for Extension of Time to a Planning Permit Form WORD</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2018-07-10T05:53:53Z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2025-07-31T00:28:18Z</vt:filetime>
  </op:property>
  <op:property fmtid="{D5CDD505-2E9C-101B-9397-08002B2CF9AE}" pid="10" name="Objective-ModificationStamp">
    <vt:filetime xmlns:vt="http://schemas.openxmlformats.org/officeDocument/2006/docPropsVTypes">2025-07-31T00:28:18Z</vt:filetime>
  </op:property>
  <op:property fmtid="{D5CDD505-2E9C-101B-9397-08002B2CF9AE}" pid="11" name="Objective-Owner">
    <vt:lpwstr xmlns:vt="http://schemas.openxmlformats.org/officeDocument/2006/docPropsVTypes">Leanne Nicholls</vt:lpwstr>
  </op:property>
  <op:property fmtid="{D5CDD505-2E9C-101B-9397-08002B2CF9AE}" pid="12" name="Objective-Path">
    <vt:lpwstr xmlns:vt="http://schemas.openxmlformats.org/officeDocument/2006/docPropsVTypes">Classified Object:Classified Object:Classified Object:Classified Object:Planning Forms and Templates - LIVE LINKED TO WEBSITE</vt:lpwstr>
  </op:property>
  <op:property fmtid="{D5CDD505-2E9C-101B-9397-08002B2CF9AE}" pid="13" name="Objective-Parent">
    <vt:lpwstr xmlns:vt="http://schemas.openxmlformats.org/officeDocument/2006/docPropsVTypes">Planning Forms and Templates - LIVE LINKED TO WEBSITE</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vA15450800</vt:lpwstr>
  </op:property>
  <op:property fmtid="{D5CDD505-2E9C-101B-9397-08002B2CF9AE}" pid="16" name="Objective-Version">
    <vt:lpwstr xmlns:vt="http://schemas.openxmlformats.org/officeDocument/2006/docPropsVTypes">28.0</vt:lpwstr>
  </op:property>
  <op:property fmtid="{D5CDD505-2E9C-101B-9397-08002B2CF9AE}" pid="17" name="Objective-VersionNumber">
    <vt:r8 xmlns:vt="http://schemas.openxmlformats.org/officeDocument/2006/docPropsVTypes">33</vt:r8>
  </op:property>
  <op:property fmtid="{D5CDD505-2E9C-101B-9397-08002B2CF9AE}" pid="18" name="Objective-VersionComment">
    <vt:lpwstr xmlns:vt="http://schemas.openxmlformats.org/officeDocument/2006/docPropsVTypes">new version - change to Details of Request and Declaration section, new logo</vt:lpwstr>
  </op:property>
  <op:property fmtid="{D5CDD505-2E9C-101B-9397-08002B2CF9AE}" pid="19" name="Objective-FileNumber">
    <vt:lpwstr xmlns:vt="http://schemas.openxmlformats.org/officeDocument/2006/docPropsVTypes">qA387</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Statutory Planning</vt:lpwstr>
  </op:property>
  <op:property fmtid="{D5CDD505-2E9C-101B-9397-08002B2CF9AE}" pid="23" name="Objective-Corporate Document Type">
    <vt:lpwstr xmlns:vt="http://schemas.openxmlformats.org/officeDocument/2006/docPropsVTypes">Form</vt:lpwstr>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